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28"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912</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DB14/T</w:t>
      </w:r>
      <w:r>
        <w:rPr>
          <w:rFonts w:hint="eastAsia" w:hAnsi="黑体"/>
        </w:rPr>
        <w:t xml:space="preserve"> </w:t>
      </w:r>
      <w:r>
        <w:rPr>
          <w:rFonts w:hAnsi="黑体"/>
        </w:rPr>
        <w:t>912-2014</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西瓜集约化育苗生产技术规程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1"/>
        <w:spacing w:after="468"/>
      </w:pPr>
      <w:bookmarkStart w:id="20"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"_Toc165654901" </w:instrText>
      </w:r>
      <w:r>
        <w:fldChar w:fldCharType="separate"/>
      </w:r>
      <w:r>
        <w:rPr>
          <w:rStyle w:val="32"/>
          <w:rFonts w:hint="eastAsia"/>
        </w:rPr>
        <w:t>前言</w:t>
      </w:r>
      <w:r>
        <w:tab/>
      </w:r>
      <w:r>
        <w:fldChar w:fldCharType="begin"/>
      </w:r>
      <w:r>
        <w:instrText xml:space="preserve"> PAGEREF _Toc165654901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"_Toc165654902" </w:instrText>
      </w:r>
      <w:r>
        <w:fldChar w:fldCharType="separate"/>
      </w:r>
      <w:r>
        <w:rPr>
          <w:rStyle w:val="32"/>
        </w:rPr>
        <w:t xml:space="preserve">1 </w:t>
      </w:r>
      <w:r>
        <w:rPr>
          <w:rStyle w:val="32"/>
          <w:rFonts w:hint="eastAsia"/>
        </w:rPr>
        <w:t xml:space="preserve"> 范围</w:t>
      </w:r>
      <w:r>
        <w:tab/>
      </w:r>
      <w:r>
        <w:fldChar w:fldCharType="begin"/>
      </w:r>
      <w:r>
        <w:instrText xml:space="preserve"> PAGEREF _Toc165654902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"_Toc165654903"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_Toc165654903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"_Toc165654904"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_Toc165654904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"_Toc165654905" </w:instrText>
      </w:r>
      <w:r>
        <w:fldChar w:fldCharType="separate"/>
      </w:r>
      <w:r>
        <w:rPr>
          <w:rStyle w:val="32"/>
        </w:rPr>
        <w:t xml:space="preserve">4 </w:t>
      </w:r>
      <w:r>
        <w:rPr>
          <w:rStyle w:val="32"/>
          <w:rFonts w:hint="eastAsia"/>
        </w:rPr>
        <w:t xml:space="preserve"> 育苗设施设备</w:t>
      </w:r>
      <w:r>
        <w:tab/>
      </w:r>
      <w:r>
        <w:fldChar w:fldCharType="begin"/>
      </w:r>
      <w:r>
        <w:instrText xml:space="preserve"> PAGEREF _Toc165654905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"_Toc165654906" </w:instrText>
      </w:r>
      <w:r>
        <w:fldChar w:fldCharType="separate"/>
      </w:r>
      <w:r>
        <w:rPr>
          <w:rStyle w:val="32"/>
        </w:rPr>
        <w:t xml:space="preserve">5 </w:t>
      </w:r>
      <w:r>
        <w:rPr>
          <w:rStyle w:val="32"/>
          <w:rFonts w:hint="eastAsia"/>
        </w:rPr>
        <w:t xml:space="preserve"> 播种前准备</w:t>
      </w:r>
      <w:r>
        <w:tab/>
      </w:r>
      <w:r>
        <w:fldChar w:fldCharType="begin"/>
      </w:r>
      <w:r>
        <w:instrText xml:space="preserve"> PAGEREF _Toc165654906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"_Toc165654907" </w:instrText>
      </w:r>
      <w:r>
        <w:fldChar w:fldCharType="separate"/>
      </w:r>
      <w:r>
        <w:rPr>
          <w:rStyle w:val="32"/>
        </w:rPr>
        <w:t xml:space="preserve">6 </w:t>
      </w:r>
      <w:r>
        <w:rPr>
          <w:rStyle w:val="32"/>
          <w:rFonts w:hint="eastAsia"/>
        </w:rPr>
        <w:t xml:space="preserve"> 播种</w:t>
      </w:r>
      <w:r>
        <w:tab/>
      </w:r>
      <w:r>
        <w:fldChar w:fldCharType="begin"/>
      </w:r>
      <w:r>
        <w:instrText xml:space="preserve"> PAGEREF _Toc165654907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"_Toc165654908" </w:instrText>
      </w:r>
      <w:r>
        <w:fldChar w:fldCharType="separate"/>
      </w:r>
      <w:r>
        <w:rPr>
          <w:rStyle w:val="32"/>
        </w:rPr>
        <w:t xml:space="preserve">7 </w:t>
      </w:r>
      <w:r>
        <w:rPr>
          <w:rStyle w:val="32"/>
          <w:rFonts w:hint="eastAsia"/>
        </w:rPr>
        <w:t xml:space="preserve"> 嫁接</w:t>
      </w:r>
      <w:r>
        <w:tab/>
      </w:r>
      <w:r>
        <w:fldChar w:fldCharType="begin"/>
      </w:r>
      <w:r>
        <w:instrText xml:space="preserve"> PAGEREF _Toc165654908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"_Toc165654909" </w:instrText>
      </w:r>
      <w:r>
        <w:fldChar w:fldCharType="separate"/>
      </w:r>
      <w:r>
        <w:rPr>
          <w:rStyle w:val="32"/>
        </w:rPr>
        <w:t xml:space="preserve">8 </w:t>
      </w:r>
      <w:r>
        <w:rPr>
          <w:rStyle w:val="32"/>
          <w:rFonts w:hint="eastAsia"/>
        </w:rPr>
        <w:t xml:space="preserve"> 苗期管理</w:t>
      </w:r>
      <w:r>
        <w:tab/>
      </w:r>
      <w:r>
        <w:fldChar w:fldCharType="begin"/>
      </w:r>
      <w:r>
        <w:instrText xml:space="preserve"> PAGEREF _Toc165654909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"_Toc165654910" </w:instrText>
      </w:r>
      <w:r>
        <w:fldChar w:fldCharType="separate"/>
      </w:r>
      <w:r>
        <w:rPr>
          <w:rStyle w:val="32"/>
        </w:rPr>
        <w:t xml:space="preserve">9 </w:t>
      </w:r>
      <w:r>
        <w:rPr>
          <w:rStyle w:val="32"/>
          <w:rFonts w:hint="eastAsia"/>
        </w:rPr>
        <w:t xml:space="preserve"> 成品苗要求</w:t>
      </w:r>
      <w:r>
        <w:tab/>
      </w:r>
      <w:r>
        <w:fldChar w:fldCharType="begin"/>
      </w:r>
      <w:r>
        <w:instrText xml:space="preserve"> PAGEREF _Toc165654910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"_Toc165654911" </w:instrText>
      </w:r>
      <w:r>
        <w:fldChar w:fldCharType="separate"/>
      </w:r>
      <w:r>
        <w:rPr>
          <w:rStyle w:val="32"/>
        </w:rPr>
        <w:t xml:space="preserve">10 </w:t>
      </w:r>
      <w:r>
        <w:rPr>
          <w:rStyle w:val="32"/>
          <w:rFonts w:hint="eastAsia"/>
        </w:rPr>
        <w:t xml:space="preserve"> 育苗档案</w:t>
      </w:r>
      <w:r>
        <w:tab/>
      </w:r>
      <w:r>
        <w:fldChar w:fldCharType="begin"/>
      </w:r>
      <w:r>
        <w:instrText xml:space="preserve"> PAGEREF _Toc165654911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"_Toc165654912" </w:instrText>
      </w:r>
      <w:r>
        <w:fldChar w:fldCharType="separate"/>
      </w:r>
      <w:r>
        <w:rPr>
          <w:rStyle w:val="32"/>
          <w:rFonts w:hint="eastAsia"/>
        </w:rPr>
        <w:t>附录A（资料性）</w:t>
      </w:r>
      <w:r>
        <w:rPr>
          <w:rStyle w:val="32"/>
        </w:rPr>
        <w:t xml:space="preserve">  </w:t>
      </w:r>
      <w:r>
        <w:rPr>
          <w:rStyle w:val="32"/>
          <w:rFonts w:hint="eastAsia"/>
        </w:rPr>
        <w:t>西瓜集约化育苗记录</w:t>
      </w:r>
      <w:r>
        <w:tab/>
      </w:r>
      <w:r>
        <w:fldChar w:fldCharType="begin"/>
      </w:r>
      <w:r>
        <w:instrText xml:space="preserve"> PAGEREF _Toc165654912 \h </w:instrText>
      </w:r>
      <w:r>
        <w:fldChar w:fldCharType="separate"/>
      </w:r>
      <w:r>
        <w:t>5</w:t>
      </w:r>
      <w:r>
        <w:fldChar w:fldCharType="end"/>
      </w:r>
      <w:r>
        <w:fldChar w:fldCharType="end"/>
      </w:r>
    </w:p>
    <w:p>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89"/>
        <w:spacing w:before="900" w:after="468"/>
      </w:pPr>
      <w:bookmarkStart w:id="21" w:name="_Toc165654901"/>
      <w:bookmarkStart w:id="22" w:name="BookMark2"/>
      <w:r>
        <w:rPr>
          <w:spacing w:val="320"/>
        </w:rPr>
        <w:t>前</w:t>
      </w:r>
      <w:r>
        <w:t>言</w:t>
      </w:r>
      <w:bookmarkEnd w:id="21"/>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本文件代替DB14/T 912-2014《西瓜集约化育苗生产技术规程》，与DB14/T 912-2014相比，除结构调整和编辑性改动外，主要技术变化如下：</w:t>
      </w:r>
    </w:p>
    <w:p>
      <w:pPr>
        <w:pStyle w:val="56"/>
        <w:ind w:firstLine="420"/>
      </w:pPr>
      <w:r>
        <w:rPr>
          <w:rFonts w:hint="eastAsia"/>
        </w:rPr>
        <w:t>——更改了“术语和定义”的内容（见3，2014版3）；</w:t>
      </w:r>
    </w:p>
    <w:p>
      <w:pPr>
        <w:pStyle w:val="56"/>
        <w:ind w:firstLine="420"/>
      </w:pPr>
      <w:r>
        <w:rPr>
          <w:rFonts w:hint="eastAsia"/>
        </w:rPr>
        <w:t>——更改了“嫁接苗管理”的内容（见8，2014版9）；</w:t>
      </w:r>
    </w:p>
    <w:p>
      <w:pPr>
        <w:pStyle w:val="56"/>
        <w:ind w:firstLine="420"/>
      </w:pPr>
      <w:r>
        <w:rPr>
          <w:rFonts w:hint="eastAsia"/>
        </w:rPr>
        <w:t>——更改了“病虫害防治”的内容（见9，2014版9.7）；</w:t>
      </w:r>
    </w:p>
    <w:p>
      <w:pPr>
        <w:pStyle w:val="56"/>
        <w:ind w:firstLine="420"/>
      </w:pPr>
      <w:r>
        <w:rPr>
          <w:rFonts w:hint="eastAsia"/>
        </w:rPr>
        <w:t>——删除了“包装、标志和运输”的内容（见2014版10）；</w:t>
      </w:r>
    </w:p>
    <w:p>
      <w:pPr>
        <w:pStyle w:val="56"/>
        <w:ind w:firstLine="420"/>
      </w:pPr>
      <w:r>
        <w:rPr>
          <w:rFonts w:hint="eastAsia"/>
        </w:rPr>
        <w:t>——更改了“生产档案”的内容（见10，2014版11）。</w:t>
      </w:r>
    </w:p>
    <w:p>
      <w:pPr>
        <w:pStyle w:val="56"/>
        <w:ind w:firstLine="420"/>
      </w:pPr>
      <w:r>
        <w:rPr>
          <w:rFonts w:hint="eastAsia"/>
        </w:rPr>
        <w:t>本文件由山西省农业农村厅提出、组织实施和监督检查。</w:t>
      </w:r>
    </w:p>
    <w:p>
      <w:pPr>
        <w:pStyle w:val="56"/>
        <w:ind w:firstLine="420"/>
      </w:pPr>
      <w:r>
        <w:rPr>
          <w:rFonts w:hint="eastAsia"/>
        </w:rPr>
        <w:t>山西省市场监督管理局对标准的组织实施情况进行监督检查。</w:t>
      </w:r>
    </w:p>
    <w:p>
      <w:pPr>
        <w:pStyle w:val="56"/>
        <w:ind w:firstLine="420"/>
      </w:pPr>
      <w:r>
        <w:rPr>
          <w:rFonts w:hint="eastAsia"/>
        </w:rPr>
        <w:t>本文件由山西省农业标准化技术委员会（SXS/TC19）归口。</w:t>
      </w:r>
    </w:p>
    <w:p>
      <w:pPr>
        <w:pStyle w:val="56"/>
        <w:ind w:firstLine="420"/>
      </w:pPr>
      <w:r>
        <w:rPr>
          <w:rFonts w:hint="eastAsia"/>
        </w:rPr>
        <w:t>本文件主要起草单位：山西农业大学、山西省园艺产业发展中心、运城市盐湖区禹润农业发展有限公司。</w:t>
      </w:r>
    </w:p>
    <w:p>
      <w:pPr>
        <w:pStyle w:val="56"/>
        <w:ind w:firstLine="420"/>
      </w:pPr>
      <w:r>
        <w:rPr>
          <w:rFonts w:hint="eastAsia"/>
        </w:rPr>
        <w:t>本文件主要起草人：吴俊华、刘瑞宇、郭益鸿、许周、王小军、陈小露、柴秀花、弓晓峰、</w:t>
      </w:r>
      <w:r>
        <w:rPr>
          <w:rFonts w:hint="eastAsia"/>
          <w:lang w:eastAsia="zh-CN"/>
        </w:rPr>
        <w:t>郭烨、</w:t>
      </w:r>
      <w:r>
        <w:rPr>
          <w:rFonts w:hint="eastAsia"/>
        </w:rPr>
        <w:t>王景华、樊志强、葛志鹏、解学礼、</w:t>
      </w:r>
      <w:r>
        <w:rPr>
          <w:rFonts w:hint="eastAsia"/>
          <w:lang w:eastAsia="zh-CN"/>
        </w:rPr>
        <w:t>王晨阳、</w:t>
      </w:r>
      <w:r>
        <w:rPr>
          <w:rFonts w:hint="eastAsia"/>
        </w:rPr>
        <w:t>梁鹏桢、温变英</w:t>
      </w:r>
      <w:r>
        <w:rPr>
          <w:rFonts w:hint="eastAsia"/>
          <w:lang w:eastAsia="zh-CN"/>
        </w:rPr>
        <w:t>、</w:t>
      </w:r>
      <w:r>
        <w:rPr>
          <w:rFonts w:hint="eastAsia"/>
          <w:lang w:val="en-US" w:eastAsia="zh-CN"/>
        </w:rPr>
        <w:t>温步高</w:t>
      </w:r>
      <w:r>
        <w:rPr>
          <w:rFonts w:hint="eastAsia"/>
        </w:rPr>
        <w:t>。</w:t>
      </w:r>
    </w:p>
    <w:p>
      <w:pPr>
        <w:pStyle w:val="56"/>
        <w:ind w:firstLine="420"/>
      </w:pPr>
      <w:r>
        <w:rPr>
          <w:rFonts w:hint="eastAsia"/>
        </w:rPr>
        <w:t>本文件及其所代替文件的历次版本发布情况为：</w:t>
      </w:r>
    </w:p>
    <w:p>
      <w:pPr>
        <w:pStyle w:val="56"/>
        <w:ind w:firstLine="420"/>
      </w:pPr>
      <w:r>
        <w:rPr>
          <w:rFonts w:hint="eastAsia"/>
        </w:rPr>
        <w:t>——本文件于2017年首次发布为</w:t>
      </w:r>
      <w:r>
        <w:t>DB14/T 912-2014</w:t>
      </w:r>
      <w:r>
        <w:rPr>
          <w:rFonts w:hint="eastAsia"/>
        </w:rPr>
        <w:t>；</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r>
        <w:rPr>
          <w:rFonts w:hint="eastAsia"/>
        </w:rPr>
        <w:t>——本次为第一次修订。</w:t>
      </w: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BFDF13FCBC0640A08E5A3BD91FFCA5A9"/>
        </w:placeholder>
      </w:sdtPr>
      <w:sdtContent>
        <w:p>
          <w:pPr>
            <w:pStyle w:val="177"/>
            <w:spacing w:before="3" w:beforeLines="1" w:after="686" w:afterLines="220"/>
          </w:pPr>
          <w:bookmarkStart w:id="24" w:name="NEW_STAND_NAME"/>
          <w:r>
            <w:rPr>
              <w:rFonts w:hint="eastAsia"/>
            </w:rPr>
            <w:t>西瓜集约化育苗生产技术规程</w:t>
          </w:r>
        </w:p>
      </w:sdtContent>
    </w:sdt>
    <w:bookmarkEnd w:id="24"/>
    <w:p>
      <w:pPr>
        <w:pStyle w:val="104"/>
        <w:spacing w:before="312" w:after="312"/>
      </w:pPr>
      <w:bookmarkStart w:id="25" w:name="_Toc165654884"/>
      <w:bookmarkStart w:id="26" w:name="_Toc24884218"/>
      <w:bookmarkStart w:id="27" w:name="_Toc17233325"/>
      <w:bookmarkStart w:id="28" w:name="_Toc17233333"/>
      <w:bookmarkStart w:id="29" w:name="_Toc26986771"/>
      <w:bookmarkStart w:id="30" w:name="_Toc97191423"/>
      <w:bookmarkStart w:id="31" w:name="_Toc26986530"/>
      <w:bookmarkStart w:id="32" w:name="_Toc26718930"/>
      <w:bookmarkStart w:id="33" w:name="_Toc24884211"/>
      <w:bookmarkStart w:id="34" w:name="_Toc165654902"/>
      <w:bookmarkStart w:id="35" w:name="_Toc26648465"/>
      <w:r>
        <w:rPr>
          <w:rFonts w:hint="eastAsia"/>
        </w:rPr>
        <w:t>范围</w:t>
      </w:r>
      <w:bookmarkEnd w:id="25"/>
      <w:bookmarkEnd w:id="26"/>
      <w:bookmarkEnd w:id="27"/>
      <w:bookmarkEnd w:id="28"/>
      <w:bookmarkEnd w:id="29"/>
      <w:bookmarkEnd w:id="30"/>
      <w:bookmarkEnd w:id="31"/>
      <w:bookmarkEnd w:id="32"/>
      <w:bookmarkEnd w:id="33"/>
      <w:bookmarkEnd w:id="34"/>
      <w:bookmarkEnd w:id="35"/>
    </w:p>
    <w:p>
      <w:pPr>
        <w:pStyle w:val="56"/>
        <w:ind w:firstLine="420"/>
      </w:pPr>
      <w:bookmarkStart w:id="36" w:name="_Toc17233334"/>
      <w:bookmarkStart w:id="37" w:name="_Toc26648466"/>
      <w:bookmarkStart w:id="38" w:name="_Toc17233326"/>
      <w:bookmarkStart w:id="39" w:name="_Toc24884212"/>
      <w:bookmarkStart w:id="40" w:name="_Toc24884219"/>
      <w:r>
        <w:rPr>
          <w:rFonts w:hint="eastAsia"/>
        </w:rPr>
        <w:t>本文件规定了西瓜集约化育苗的术语和定义、育苗设施设备、播种前准备、播种、嫁接、苗期管理、病虫害防治、成品苗要求及育苗档案。</w:t>
      </w:r>
    </w:p>
    <w:p>
      <w:pPr>
        <w:pStyle w:val="56"/>
        <w:ind w:firstLine="420"/>
      </w:pPr>
      <w:r>
        <w:rPr>
          <w:rFonts w:hint="eastAsia"/>
        </w:rPr>
        <w:t>本文件适用于西瓜集约化育苗生产。</w:t>
      </w:r>
    </w:p>
    <w:p>
      <w:pPr>
        <w:pStyle w:val="104"/>
        <w:spacing w:before="312" w:after="312"/>
      </w:pPr>
      <w:bookmarkStart w:id="41" w:name="_Toc97191424"/>
      <w:bookmarkStart w:id="42" w:name="_Toc165654903"/>
      <w:bookmarkStart w:id="43" w:name="_Toc26986531"/>
      <w:bookmarkStart w:id="44" w:name="_Toc26986772"/>
      <w:bookmarkStart w:id="45" w:name="_Toc26718931"/>
      <w:bookmarkStart w:id="46" w:name="_Toc165654885"/>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D589025BF84E42329DC3F7F48251852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 3095 环境空气质量标准</w:t>
      </w:r>
    </w:p>
    <w:p>
      <w:pPr>
        <w:pStyle w:val="56"/>
        <w:ind w:firstLine="420"/>
      </w:pPr>
      <w:r>
        <w:t>GB 5084 </w:t>
      </w:r>
      <w:r>
        <w:rPr>
          <w:rFonts w:hint="eastAsia"/>
        </w:rPr>
        <w:t>农田灌溉水质标准</w:t>
      </w:r>
    </w:p>
    <w:p>
      <w:pPr>
        <w:pStyle w:val="56"/>
        <w:ind w:firstLine="420"/>
      </w:pPr>
      <w:r>
        <w:rPr>
          <w:rFonts w:hint="eastAsia"/>
        </w:rPr>
        <w:t>GB/T 8321 所有部分 农药合理使用准则</w:t>
      </w:r>
    </w:p>
    <w:p>
      <w:pPr>
        <w:pStyle w:val="56"/>
        <w:ind w:firstLine="420"/>
      </w:pPr>
      <w:r>
        <w:rPr>
          <w:rFonts w:hint="eastAsia"/>
        </w:rPr>
        <w:t>GB 16715.1 瓜菜作物种子 第1部分：瓜类</w:t>
      </w:r>
    </w:p>
    <w:p>
      <w:pPr>
        <w:pStyle w:val="56"/>
        <w:ind w:firstLine="420"/>
      </w:pPr>
      <w:r>
        <w:rPr>
          <w:rFonts w:hint="eastAsia"/>
        </w:rPr>
        <w:t>NY/T 2118 蔬菜育苗基质</w:t>
      </w:r>
    </w:p>
    <w:p>
      <w:pPr>
        <w:pStyle w:val="56"/>
        <w:ind w:firstLine="420"/>
      </w:pPr>
      <w:r>
        <w:rPr>
          <w:rFonts w:hint="eastAsia"/>
        </w:rPr>
        <w:t>NY/T 2119 蔬菜穴盘育苗通则</w:t>
      </w:r>
    </w:p>
    <w:p>
      <w:pPr>
        <w:pStyle w:val="104"/>
        <w:spacing w:before="312" w:after="312"/>
      </w:pPr>
      <w:bookmarkStart w:id="47" w:name="_Toc165654904"/>
      <w:bookmarkStart w:id="48" w:name="_Toc97191425"/>
      <w:bookmarkStart w:id="49" w:name="_Toc165654886"/>
      <w:r>
        <w:rPr>
          <w:rFonts w:hint="eastAsia"/>
          <w:szCs w:val="21"/>
        </w:rPr>
        <w:t>术语和定义</w:t>
      </w:r>
      <w:bookmarkEnd w:id="47"/>
      <w:bookmarkEnd w:id="48"/>
      <w:bookmarkEnd w:id="49"/>
    </w:p>
    <w:sdt>
      <w:sdtPr>
        <w:id w:val="-1909835108"/>
        <w:placeholder>
          <w:docPart w:val="19BF426C562547EC861947E86F8D5D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0" w:name="_Toc26986532"/>
          <w:bookmarkEnd w:id="50"/>
          <w:r>
            <w:t>下列术语和定义适用于本文件。</w:t>
          </w:r>
        </w:p>
      </w:sdtContent>
    </w:sdt>
    <w:p>
      <w:pPr>
        <w:pStyle w:val="105"/>
        <w:spacing w:before="156" w:after="156"/>
      </w:pPr>
    </w:p>
    <w:p>
      <w:pPr>
        <w:pStyle w:val="105"/>
        <w:numPr>
          <w:ilvl w:val="0"/>
          <w:numId w:val="0"/>
        </w:numPr>
        <w:spacing w:before="156" w:after="156"/>
        <w:ind w:firstLine="420" w:firstLineChars="200"/>
      </w:pPr>
      <w:r>
        <w:rPr>
          <w:rFonts w:hint="eastAsia"/>
        </w:rPr>
        <w:t xml:space="preserve">集约化育苗 </w:t>
      </w:r>
    </w:p>
    <w:p>
      <w:pPr>
        <w:pStyle w:val="56"/>
        <w:ind w:firstLine="420"/>
      </w:pPr>
      <w:r>
        <w:rPr>
          <w:rFonts w:hint="eastAsia"/>
        </w:rPr>
        <w:t>在特定的设施内，集合先进的技术、设施、设备，按照科学的工艺流程，集中、规范、批量、高效化培育优质菜苗的育苗方式。</w:t>
      </w:r>
    </w:p>
    <w:p>
      <w:pPr>
        <w:pStyle w:val="104"/>
        <w:spacing w:before="312" w:after="312"/>
        <w:rPr>
          <w:rFonts w:ascii="Times New Roman"/>
        </w:rPr>
      </w:pPr>
      <w:bookmarkStart w:id="51" w:name="_Toc165654905"/>
      <w:bookmarkStart w:id="52" w:name="_Toc165654887"/>
      <w:r>
        <w:t>育苗设施</w:t>
      </w:r>
      <w:r>
        <w:rPr>
          <w:rFonts w:hint="eastAsia"/>
        </w:rPr>
        <w:t>设备</w:t>
      </w:r>
      <w:bookmarkEnd w:id="51"/>
      <w:bookmarkEnd w:id="52"/>
    </w:p>
    <w:p>
      <w:pPr>
        <w:pStyle w:val="105"/>
        <w:spacing w:before="156" w:after="156"/>
        <w:rPr>
          <w:rFonts w:ascii="Times New Roman"/>
        </w:rPr>
      </w:pPr>
      <w:r>
        <w:t>育苗场地</w:t>
      </w:r>
      <w:r>
        <w:rPr>
          <w:rFonts w:hint="eastAsia"/>
        </w:rPr>
        <w:t>准备</w:t>
      </w:r>
    </w:p>
    <w:p>
      <w:pPr>
        <w:pStyle w:val="56"/>
        <w:ind w:firstLine="420"/>
      </w:pPr>
      <w:r>
        <w:t>日光温室或连栋温室等设施</w:t>
      </w:r>
      <w:r>
        <w:rPr>
          <w:rFonts w:hint="eastAsia"/>
        </w:rPr>
        <w:t>要</w:t>
      </w:r>
      <w:r>
        <w:t>可调节温度、湿度、光照以及防虫、避雨、抗灾。育苗所在地的环境应符合GB 3095、GB 5084的规定。</w:t>
      </w:r>
    </w:p>
    <w:p>
      <w:pPr>
        <w:pStyle w:val="105"/>
        <w:spacing w:before="156" w:after="156"/>
        <w:rPr>
          <w:rFonts w:ascii="Times New Roman"/>
        </w:rPr>
      </w:pPr>
      <w:r>
        <w:rPr>
          <w:rFonts w:hint="eastAsia"/>
        </w:rPr>
        <w:t>设施设备</w:t>
      </w:r>
    </w:p>
    <w:p>
      <w:pPr>
        <w:pStyle w:val="230"/>
        <w:rPr>
          <w:rFonts w:ascii="Times New Roman" w:hAnsi="Times New Roman" w:cs="Times New Roman"/>
        </w:rPr>
      </w:pPr>
      <w:r>
        <w:rPr>
          <w:rFonts w:cs="Times New Roman"/>
        </w:rPr>
        <w:t>配置仓库、基质搅拌机、自动播种生产线</w:t>
      </w:r>
      <w:r>
        <w:rPr>
          <w:rFonts w:hint="eastAsia" w:cs="Times New Roman"/>
        </w:rPr>
        <w:t>、</w:t>
      </w:r>
      <w:r>
        <w:rPr>
          <w:rFonts w:cs="Times New Roman"/>
        </w:rPr>
        <w:t>恒温箱、催芽室等</w:t>
      </w:r>
      <w:r>
        <w:rPr>
          <w:rFonts w:hint="eastAsia" w:cs="Times New Roman"/>
        </w:rPr>
        <w:t>设施</w:t>
      </w:r>
      <w:r>
        <w:rPr>
          <w:rFonts w:cs="Times New Roman"/>
        </w:rPr>
        <w:t>设备。</w:t>
      </w:r>
    </w:p>
    <w:p>
      <w:pPr>
        <w:pStyle w:val="105"/>
        <w:spacing w:before="156" w:after="156"/>
        <w:rPr>
          <w:rFonts w:ascii="Times New Roman"/>
        </w:rPr>
      </w:pPr>
      <w:r>
        <w:t>穴盘选择</w:t>
      </w:r>
    </w:p>
    <w:p>
      <w:pPr>
        <w:pStyle w:val="56"/>
        <w:ind w:firstLine="420"/>
        <w:rPr>
          <w:rFonts w:hAnsi="宋体"/>
          <w:szCs w:val="21"/>
        </w:rPr>
      </w:pPr>
      <w:r>
        <w:rPr>
          <w:rFonts w:hAnsi="宋体"/>
          <w:szCs w:val="21"/>
        </w:rPr>
        <w:t>选用50孔</w:t>
      </w:r>
      <w:r>
        <w:rPr>
          <w:rFonts w:hint="eastAsia" w:hAnsi="宋体"/>
          <w:szCs w:val="21"/>
        </w:rPr>
        <w:t>或</w:t>
      </w:r>
      <w:r>
        <w:rPr>
          <w:rFonts w:hAnsi="宋体"/>
          <w:szCs w:val="21"/>
        </w:rPr>
        <w:t>72孔穴盘。嫁接育苗接穗选用128孔穴盘。穴盘</w:t>
      </w:r>
      <w:r>
        <w:rPr>
          <w:rFonts w:hint="eastAsia" w:hAnsi="宋体"/>
          <w:szCs w:val="21"/>
        </w:rPr>
        <w:t>应</w:t>
      </w:r>
      <w:r>
        <w:rPr>
          <w:rFonts w:hAnsi="宋体"/>
          <w:szCs w:val="21"/>
        </w:rPr>
        <w:t>符合NY/T 2119的规定。</w:t>
      </w:r>
    </w:p>
    <w:p>
      <w:pPr>
        <w:pStyle w:val="104"/>
        <w:spacing w:before="312" w:after="312"/>
        <w:rPr>
          <w:rFonts w:ascii="Times New Roman"/>
        </w:rPr>
      </w:pPr>
      <w:bookmarkStart w:id="53" w:name="_Toc165654888"/>
      <w:bookmarkStart w:id="54" w:name="_Toc165654906"/>
      <w:r>
        <w:rPr>
          <w:rFonts w:hint="eastAsia"/>
        </w:rPr>
        <w:t>播种前准备</w:t>
      </w:r>
      <w:bookmarkEnd w:id="53"/>
      <w:bookmarkEnd w:id="54"/>
    </w:p>
    <w:p>
      <w:pPr>
        <w:pStyle w:val="105"/>
        <w:spacing w:before="156" w:after="156"/>
        <w:rPr>
          <w:rFonts w:ascii="Times New Roman"/>
        </w:rPr>
      </w:pPr>
      <w:r>
        <w:t>品种选择</w:t>
      </w:r>
    </w:p>
    <w:p>
      <w:pPr>
        <w:pStyle w:val="56"/>
        <w:ind w:firstLine="420"/>
        <w:rPr>
          <w:rFonts w:hAnsi="宋体" w:cs="宋体"/>
        </w:rPr>
      </w:pPr>
      <w:r>
        <w:rPr>
          <w:rFonts w:hint="eastAsia"/>
        </w:rPr>
        <w:t>选择适宜栽培地气候，且抗病、品质优良的西瓜品种。砧木品种选择根系发达、亲和性强的葫芦、南瓜和野生西瓜等种类。</w:t>
      </w:r>
    </w:p>
    <w:p>
      <w:pPr>
        <w:pStyle w:val="105"/>
        <w:spacing w:before="156" w:after="156"/>
        <w:rPr>
          <w:rFonts w:ascii="Times New Roman"/>
        </w:rPr>
      </w:pPr>
      <w:r>
        <w:t>种子质量</w:t>
      </w:r>
    </w:p>
    <w:p>
      <w:pPr>
        <w:pStyle w:val="230"/>
        <w:rPr>
          <w:rFonts w:cs="Times New Roman"/>
        </w:rPr>
      </w:pPr>
      <w:r>
        <w:rPr>
          <w:rFonts w:cs="Times New Roman"/>
        </w:rPr>
        <w:t>种子质量应符合GB 16715.1</w:t>
      </w:r>
      <w:r>
        <w:rPr>
          <w:rFonts w:hint="eastAsia" w:cs="Times New Roman"/>
        </w:rPr>
        <w:t>的</w:t>
      </w:r>
      <w:r>
        <w:rPr>
          <w:rFonts w:cs="Times New Roman"/>
        </w:rPr>
        <w:t>要求。</w:t>
      </w:r>
    </w:p>
    <w:p>
      <w:pPr>
        <w:pStyle w:val="105"/>
        <w:spacing w:before="156" w:after="156"/>
        <w:rPr>
          <w:rFonts w:ascii="Times New Roman"/>
        </w:rPr>
      </w:pPr>
      <w:r>
        <w:rPr>
          <w:rFonts w:hint="eastAsia"/>
        </w:rPr>
        <w:t>育苗</w:t>
      </w:r>
      <w:r>
        <w:t>基质配制</w:t>
      </w:r>
    </w:p>
    <w:p>
      <w:pPr>
        <w:pStyle w:val="56"/>
        <w:ind w:firstLine="420"/>
        <w:rPr>
          <w:rFonts w:hAnsi="宋体"/>
          <w:szCs w:val="21"/>
        </w:rPr>
      </w:pPr>
      <w:r>
        <w:rPr>
          <w:rFonts w:hAnsi="宋体"/>
          <w:szCs w:val="21"/>
        </w:rPr>
        <w:t>基质选用草炭、蛭石和珍珠岩按3：1：1比例配制。育苗基质应符合NY/T</w:t>
      </w:r>
      <w:r>
        <w:rPr>
          <w:rFonts w:hint="eastAsia" w:hAnsi="宋体"/>
          <w:szCs w:val="21"/>
        </w:rPr>
        <w:t xml:space="preserve"> </w:t>
      </w:r>
      <w:r>
        <w:rPr>
          <w:rFonts w:hAnsi="宋体"/>
          <w:szCs w:val="21"/>
        </w:rPr>
        <w:t>2118的规定。</w:t>
      </w:r>
    </w:p>
    <w:p>
      <w:pPr>
        <w:pStyle w:val="105"/>
        <w:spacing w:before="156" w:after="156"/>
        <w:rPr>
          <w:rFonts w:ascii="Times New Roman"/>
        </w:rPr>
      </w:pPr>
      <w:r>
        <w:t>装盘</w:t>
      </w:r>
    </w:p>
    <w:p>
      <w:pPr>
        <w:pStyle w:val="56"/>
        <w:ind w:firstLine="420"/>
        <w:rPr>
          <w:rFonts w:ascii="Times New Roman"/>
        </w:rPr>
      </w:pPr>
      <w:r>
        <w:t>将配制好的基质装入穴盘，用刮板刮平，各个</w:t>
      </w:r>
      <w:r>
        <w:rPr>
          <w:rFonts w:hint="eastAsia"/>
        </w:rPr>
        <w:t>穴孔</w:t>
      </w:r>
      <w:r>
        <w:t>清晰可见。</w:t>
      </w:r>
    </w:p>
    <w:p>
      <w:pPr>
        <w:pStyle w:val="105"/>
        <w:spacing w:before="156" w:after="156"/>
        <w:rPr>
          <w:rFonts w:ascii="Times New Roman"/>
        </w:rPr>
      </w:pPr>
      <w:r>
        <w:rPr>
          <w:rFonts w:hint="eastAsia"/>
        </w:rPr>
        <w:t>种子</w:t>
      </w:r>
      <w:r>
        <w:t>处理</w:t>
      </w:r>
    </w:p>
    <w:p>
      <w:pPr>
        <w:pStyle w:val="56"/>
        <w:ind w:firstLine="420"/>
        <w:rPr>
          <w:rFonts w:hAnsi="宋体"/>
          <w:szCs w:val="21"/>
        </w:rPr>
      </w:pPr>
      <w:r>
        <w:rPr>
          <w:rFonts w:hAnsi="宋体"/>
          <w:szCs w:val="21"/>
        </w:rPr>
        <w:t>将种子放入盆内，</w:t>
      </w:r>
      <w:r>
        <w:rPr>
          <w:rFonts w:hint="eastAsia" w:hAnsi="宋体"/>
          <w:szCs w:val="21"/>
        </w:rPr>
        <w:t>缓慢</w:t>
      </w:r>
      <w:r>
        <w:rPr>
          <w:rFonts w:hAnsi="宋体"/>
          <w:szCs w:val="21"/>
        </w:rPr>
        <w:t>倒入50</w:t>
      </w:r>
      <w:r>
        <w:rPr>
          <w:rFonts w:hint="eastAsia" w:hAnsi="宋体"/>
          <w:szCs w:val="21"/>
        </w:rPr>
        <w:t xml:space="preserve"> ℃</w:t>
      </w:r>
      <w:r>
        <w:rPr>
          <w:rFonts w:hAnsi="宋体"/>
          <w:szCs w:val="21"/>
        </w:rPr>
        <w:t>～55</w:t>
      </w:r>
      <w:r>
        <w:rPr>
          <w:rFonts w:hint="eastAsia" w:hAnsi="宋体"/>
          <w:szCs w:val="21"/>
        </w:rPr>
        <w:t xml:space="preserve"> ℃的</w:t>
      </w:r>
      <w:r>
        <w:rPr>
          <w:rFonts w:hAnsi="宋体"/>
          <w:szCs w:val="21"/>
        </w:rPr>
        <w:t>水，边倒边搅拌，持续15</w:t>
      </w:r>
      <w:r>
        <w:rPr>
          <w:rFonts w:hint="eastAsia" w:hAnsi="宋体"/>
          <w:szCs w:val="21"/>
        </w:rPr>
        <w:t xml:space="preserve"> </w:t>
      </w:r>
      <w:r>
        <w:rPr>
          <w:rFonts w:hAnsi="宋体"/>
          <w:szCs w:val="21"/>
        </w:rPr>
        <w:t>min～20</w:t>
      </w:r>
      <w:r>
        <w:rPr>
          <w:rFonts w:hint="eastAsia" w:hAnsi="宋体"/>
          <w:szCs w:val="21"/>
        </w:rPr>
        <w:t xml:space="preserve"> </w:t>
      </w:r>
      <w:r>
        <w:rPr>
          <w:rFonts w:hAnsi="宋体"/>
          <w:szCs w:val="21"/>
        </w:rPr>
        <w:t>min后，水温降至30</w:t>
      </w:r>
      <w:r>
        <w:rPr>
          <w:rFonts w:hint="eastAsia" w:hAnsi="宋体"/>
          <w:szCs w:val="21"/>
        </w:rPr>
        <w:t xml:space="preserve"> ℃</w:t>
      </w:r>
      <w:r>
        <w:rPr>
          <w:rFonts w:hAnsi="宋体"/>
          <w:szCs w:val="21"/>
        </w:rPr>
        <w:t>，继续浸种4 h～6 h。浸种后用湿布包好，放置在25</w:t>
      </w:r>
      <w:r>
        <w:rPr>
          <w:rFonts w:hint="eastAsia" w:hAnsi="宋体"/>
          <w:szCs w:val="21"/>
        </w:rPr>
        <w:t xml:space="preserve"> ℃</w:t>
      </w:r>
      <w:r>
        <w:rPr>
          <w:rFonts w:hAnsi="宋体"/>
          <w:szCs w:val="21"/>
        </w:rPr>
        <w:t>～30</w:t>
      </w:r>
      <w:r>
        <w:rPr>
          <w:rFonts w:hint="eastAsia" w:hAnsi="宋体"/>
          <w:szCs w:val="21"/>
        </w:rPr>
        <w:t xml:space="preserve"> ℃</w:t>
      </w:r>
      <w:r>
        <w:rPr>
          <w:rFonts w:hAnsi="宋体"/>
          <w:szCs w:val="21"/>
        </w:rPr>
        <w:t>条件下催芽，待种子50%～70%露白即可。</w:t>
      </w:r>
    </w:p>
    <w:p>
      <w:pPr>
        <w:pStyle w:val="104"/>
        <w:spacing w:before="312" w:after="312"/>
        <w:rPr>
          <w:rFonts w:ascii="Times New Roman"/>
        </w:rPr>
      </w:pPr>
      <w:bookmarkStart w:id="55" w:name="_Toc165654889"/>
      <w:bookmarkStart w:id="56" w:name="_Toc165654907"/>
      <w:r>
        <w:t>播种</w:t>
      </w:r>
      <w:bookmarkEnd w:id="55"/>
      <w:bookmarkEnd w:id="56"/>
    </w:p>
    <w:p>
      <w:pPr>
        <w:pStyle w:val="105"/>
        <w:spacing w:before="156" w:after="156"/>
        <w:rPr>
          <w:rFonts w:ascii="Times New Roman"/>
        </w:rPr>
      </w:pPr>
      <w:r>
        <w:t>播种期</w:t>
      </w:r>
    </w:p>
    <w:p>
      <w:pPr>
        <w:pStyle w:val="230"/>
        <w:rPr>
          <w:rFonts w:cs="Times New Roman"/>
        </w:rPr>
      </w:pPr>
      <w:r>
        <w:rPr>
          <w:rFonts w:cs="Times New Roman"/>
        </w:rPr>
        <w:t>根据种子质量、</w:t>
      </w:r>
      <w:r>
        <w:rPr>
          <w:rFonts w:hint="eastAsia" w:cs="Times New Roman"/>
        </w:rPr>
        <w:t>生产需求</w:t>
      </w:r>
      <w:r>
        <w:rPr>
          <w:rFonts w:cs="Times New Roman"/>
        </w:rPr>
        <w:t>等确定播种期。采用嫁接育苗，砧木要比接穗提前 6 d～8</w:t>
      </w:r>
      <w:r>
        <w:rPr>
          <w:rFonts w:hint="eastAsia" w:cs="Times New Roman"/>
        </w:rPr>
        <w:t xml:space="preserve"> </w:t>
      </w:r>
      <w:r>
        <w:rPr>
          <w:rFonts w:cs="Times New Roman"/>
        </w:rPr>
        <w:t>d播种。</w:t>
      </w:r>
    </w:p>
    <w:p>
      <w:pPr>
        <w:pStyle w:val="105"/>
        <w:spacing w:before="156" w:after="156"/>
        <w:rPr>
          <w:rFonts w:ascii="Times New Roman"/>
        </w:rPr>
      </w:pPr>
      <w:r>
        <w:t>播种方法</w:t>
      </w:r>
    </w:p>
    <w:p>
      <w:pPr>
        <w:pStyle w:val="65"/>
        <w:spacing w:before="156" w:after="156"/>
        <w:rPr>
          <w:rFonts w:ascii="Times New Roman"/>
        </w:rPr>
      </w:pPr>
      <w:r>
        <w:t>人工播种</w:t>
      </w:r>
    </w:p>
    <w:p>
      <w:pPr>
        <w:pStyle w:val="230"/>
        <w:rPr>
          <w:rFonts w:cs="Times New Roman"/>
        </w:rPr>
      </w:pPr>
      <w:r>
        <w:rPr>
          <w:rFonts w:cs="Times New Roman"/>
        </w:rPr>
        <w:t>播种深度1.5 cm，覆盖基质厚1.5</w:t>
      </w:r>
      <w:r>
        <w:rPr>
          <w:rFonts w:hint="eastAsia" w:cs="Times New Roman"/>
        </w:rPr>
        <w:t xml:space="preserve"> </w:t>
      </w:r>
      <w:r>
        <w:rPr>
          <w:rFonts w:cs="Times New Roman"/>
        </w:rPr>
        <w:t>cm～2.0</w:t>
      </w:r>
      <w:r>
        <w:rPr>
          <w:rFonts w:hint="eastAsia" w:cs="Times New Roman"/>
        </w:rPr>
        <w:t xml:space="preserve"> </w:t>
      </w:r>
      <w:r>
        <w:rPr>
          <w:rFonts w:cs="Times New Roman"/>
        </w:rPr>
        <w:t>cm。淋透水后，覆盖白色地膜等材料保湿。</w:t>
      </w:r>
    </w:p>
    <w:p>
      <w:pPr>
        <w:pStyle w:val="65"/>
        <w:spacing w:before="156" w:after="156"/>
        <w:rPr>
          <w:rFonts w:ascii="Times New Roman"/>
        </w:rPr>
      </w:pPr>
      <w:r>
        <w:t>机械播种</w:t>
      </w:r>
    </w:p>
    <w:p>
      <w:pPr>
        <w:pStyle w:val="230"/>
        <w:rPr>
          <w:rFonts w:ascii="Times New Roman" w:hAnsi="Times New Roman" w:cs="Times New Roman"/>
          <w:color w:val="000000"/>
        </w:rPr>
      </w:pPr>
      <w:r>
        <w:rPr>
          <w:rFonts w:cs="Times New Roman"/>
          <w:color w:val="000000"/>
        </w:rPr>
        <w:t>在播种流水线上自动完成装盘、压穴、播种、覆盖</w:t>
      </w:r>
      <w:r>
        <w:rPr>
          <w:rFonts w:hint="eastAsia" w:cs="Times New Roman"/>
          <w:color w:val="000000"/>
        </w:rPr>
        <w:t>、</w:t>
      </w:r>
      <w:r>
        <w:rPr>
          <w:rFonts w:cs="Times New Roman"/>
          <w:color w:val="000000"/>
        </w:rPr>
        <w:t>喷水和</w:t>
      </w:r>
      <w:r>
        <w:rPr>
          <w:rFonts w:hint="eastAsia" w:cs="Times New Roman"/>
          <w:color w:val="000000"/>
        </w:rPr>
        <w:t>催芽等流程</w:t>
      </w:r>
      <w:r>
        <w:rPr>
          <w:rFonts w:cs="Times New Roman"/>
          <w:color w:val="000000"/>
        </w:rPr>
        <w:t>。</w:t>
      </w:r>
    </w:p>
    <w:p>
      <w:pPr>
        <w:pStyle w:val="104"/>
        <w:spacing w:before="312" w:after="312"/>
        <w:rPr>
          <w:rFonts w:ascii="Times New Roman"/>
        </w:rPr>
      </w:pPr>
      <w:bookmarkStart w:id="57" w:name="_Toc165654890"/>
      <w:bookmarkStart w:id="58" w:name="_Toc165654908"/>
      <w:r>
        <w:t>嫁接</w:t>
      </w:r>
      <w:bookmarkEnd w:id="57"/>
      <w:bookmarkEnd w:id="58"/>
    </w:p>
    <w:p>
      <w:pPr>
        <w:pStyle w:val="105"/>
        <w:spacing w:before="156" w:after="156"/>
        <w:rPr>
          <w:rFonts w:ascii="Times New Roman"/>
        </w:rPr>
      </w:pPr>
      <w:r>
        <w:t>嫁接适期</w:t>
      </w:r>
    </w:p>
    <w:p>
      <w:pPr>
        <w:pStyle w:val="230"/>
        <w:rPr>
          <w:rFonts w:cs="Times New Roman"/>
        </w:rPr>
      </w:pPr>
      <w:r>
        <w:rPr>
          <w:rFonts w:cs="Times New Roman"/>
        </w:rPr>
        <w:t>砧木1叶1心、第1片真叶展平、茎粗2.5</w:t>
      </w:r>
      <w:r>
        <w:rPr>
          <w:rFonts w:hint="eastAsia" w:cs="Times New Roman"/>
        </w:rPr>
        <w:t xml:space="preserve"> </w:t>
      </w:r>
      <w:r>
        <w:rPr>
          <w:rFonts w:cs="Times New Roman"/>
        </w:rPr>
        <w:t>mm～3</w:t>
      </w:r>
      <w:r>
        <w:rPr>
          <w:rFonts w:hint="eastAsia" w:cs="Times New Roman"/>
        </w:rPr>
        <w:t xml:space="preserve"> </w:t>
      </w:r>
      <w:r>
        <w:rPr>
          <w:rFonts w:cs="Times New Roman"/>
        </w:rPr>
        <w:t>mm，接穗子叶展平、茎粗1.5</w:t>
      </w:r>
      <w:r>
        <w:rPr>
          <w:rFonts w:hint="eastAsia" w:cs="Times New Roman"/>
        </w:rPr>
        <w:t xml:space="preserve"> </w:t>
      </w:r>
      <w:r>
        <w:rPr>
          <w:rFonts w:cs="Times New Roman"/>
        </w:rPr>
        <w:t>mm～2</w:t>
      </w:r>
      <w:r>
        <w:rPr>
          <w:rFonts w:hint="eastAsia" w:cs="Times New Roman"/>
        </w:rPr>
        <w:t xml:space="preserve"> </w:t>
      </w:r>
      <w:r>
        <w:rPr>
          <w:rFonts w:cs="Times New Roman"/>
        </w:rPr>
        <w:t>mm时为嫁接适宜期。嫁接选择晴天，在散射光条件下进行。</w:t>
      </w:r>
    </w:p>
    <w:p>
      <w:pPr>
        <w:pStyle w:val="105"/>
        <w:spacing w:before="156" w:after="156"/>
        <w:rPr>
          <w:rFonts w:ascii="Times New Roman"/>
        </w:rPr>
      </w:pPr>
      <w:r>
        <w:t>嫁接前准备</w:t>
      </w:r>
    </w:p>
    <w:p>
      <w:pPr>
        <w:pStyle w:val="230"/>
        <w:rPr>
          <w:rFonts w:cs="Times New Roman"/>
        </w:rPr>
      </w:pPr>
      <w:r>
        <w:rPr>
          <w:rFonts w:cs="Times New Roman"/>
        </w:rPr>
        <w:t>嫁接在背风、遮荫条件下进行。嫁接前操作人员双手和竹签、刀片等嫁接工具用75%乙醇溶液或0.3%高锰酸钾溶液</w:t>
      </w:r>
      <w:r>
        <w:rPr>
          <w:rFonts w:hint="eastAsia" w:cs="Times New Roman"/>
        </w:rPr>
        <w:t>处理</w:t>
      </w:r>
      <w:r>
        <w:rPr>
          <w:rFonts w:cs="Times New Roman"/>
        </w:rPr>
        <w:t>。</w:t>
      </w:r>
    </w:p>
    <w:p>
      <w:pPr>
        <w:pStyle w:val="105"/>
        <w:spacing w:before="156" w:after="156"/>
        <w:rPr>
          <w:rFonts w:ascii="Times New Roman"/>
        </w:rPr>
      </w:pPr>
      <w:r>
        <w:t>嫁接方法</w:t>
      </w:r>
    </w:p>
    <w:p>
      <w:pPr>
        <w:pStyle w:val="56"/>
        <w:ind w:firstLine="420"/>
        <w:rPr>
          <w:rFonts w:hAnsi="宋体"/>
        </w:rPr>
      </w:pPr>
      <w:r>
        <w:t>采用插接法嫁接。剔除砧木苗真叶和生长点，用竹签紧贴子叶叶柄基部成</w:t>
      </w:r>
      <w:r>
        <w:rPr>
          <w:rFonts w:hAnsi="宋体"/>
        </w:rPr>
        <w:t>45</w:t>
      </w:r>
      <w:r>
        <w:rPr>
          <w:rFonts w:hint="eastAsia" w:hAnsi="宋体"/>
        </w:rPr>
        <w:t xml:space="preserve"> </w:t>
      </w:r>
      <w:r>
        <w:rPr>
          <w:rFonts w:hAnsi="宋体"/>
        </w:rPr>
        <w:t>°</w:t>
      </w:r>
      <w:r>
        <w:t>斜插，深度</w:t>
      </w:r>
      <w:r>
        <w:rPr>
          <w:rFonts w:hAnsi="宋体"/>
        </w:rPr>
        <w:t>0.6 cm</w:t>
      </w:r>
      <w:r>
        <w:t>～</w:t>
      </w:r>
      <w:r>
        <w:rPr>
          <w:rFonts w:hAnsi="宋体"/>
        </w:rPr>
        <w:t>0.8</w:t>
      </w:r>
      <w:r>
        <w:rPr>
          <w:rFonts w:hint="eastAsia" w:hAnsi="宋体"/>
        </w:rPr>
        <w:t xml:space="preserve"> </w:t>
      </w:r>
      <w:r>
        <w:rPr>
          <w:rFonts w:hAnsi="宋体"/>
        </w:rPr>
        <w:t>cm</w:t>
      </w:r>
      <w:r>
        <w:t>，不可刺破表皮。在接穗子叶下部</w:t>
      </w:r>
      <w:r>
        <w:rPr>
          <w:rFonts w:hAnsi="宋体"/>
        </w:rPr>
        <w:t>0.5 cm</w:t>
      </w:r>
      <w:r>
        <w:t>～</w:t>
      </w:r>
      <w:r>
        <w:rPr>
          <w:rFonts w:hAnsi="宋体"/>
        </w:rPr>
        <w:t>1</w:t>
      </w:r>
      <w:r>
        <w:rPr>
          <w:rFonts w:hint="eastAsia" w:hAnsi="宋体"/>
        </w:rPr>
        <w:t xml:space="preserve"> </w:t>
      </w:r>
      <w:r>
        <w:rPr>
          <w:rFonts w:hAnsi="宋体"/>
        </w:rPr>
        <w:t>cm</w:t>
      </w:r>
      <w:r>
        <w:t>处用刀片斜切长</w:t>
      </w:r>
      <w:r>
        <w:rPr>
          <w:rFonts w:hAnsi="宋体"/>
        </w:rPr>
        <w:t>0.6</w:t>
      </w:r>
      <w:r>
        <w:rPr>
          <w:rFonts w:hint="eastAsia" w:hAnsi="宋体"/>
        </w:rPr>
        <w:t xml:space="preserve"> </w:t>
      </w:r>
      <w:r>
        <w:rPr>
          <w:rFonts w:hAnsi="宋体"/>
        </w:rPr>
        <w:t>cm</w:t>
      </w:r>
      <w:r>
        <w:t>～</w:t>
      </w:r>
      <w:r>
        <w:rPr>
          <w:rFonts w:hAnsi="宋体"/>
        </w:rPr>
        <w:t>0.8</w:t>
      </w:r>
      <w:r>
        <w:rPr>
          <w:rFonts w:hint="eastAsia" w:hAnsi="宋体"/>
        </w:rPr>
        <w:t xml:space="preserve"> </w:t>
      </w:r>
      <w:r>
        <w:rPr>
          <w:rFonts w:hAnsi="宋体"/>
        </w:rPr>
        <w:t>cm</w:t>
      </w:r>
      <w:r>
        <w:t>锲形面，插入砧木孔中，砧木与接穗紧密贴合。嫁接后随即放入保温保湿防晒防风的棚室</w:t>
      </w:r>
      <w:r>
        <w:rPr>
          <w:rFonts w:hint="eastAsia"/>
        </w:rPr>
        <w:t>内</w:t>
      </w:r>
      <w:r>
        <w:t>。</w:t>
      </w:r>
    </w:p>
    <w:p>
      <w:pPr>
        <w:pStyle w:val="104"/>
        <w:spacing w:before="312" w:after="312"/>
        <w:rPr>
          <w:rFonts w:ascii="Times New Roman"/>
        </w:rPr>
      </w:pPr>
      <w:bookmarkStart w:id="59" w:name="_Toc165654891"/>
      <w:bookmarkStart w:id="60" w:name="_Toc165654909"/>
      <w:r>
        <w:t>苗期管理</w:t>
      </w:r>
      <w:bookmarkEnd w:id="59"/>
      <w:bookmarkEnd w:id="60"/>
    </w:p>
    <w:p>
      <w:pPr>
        <w:pStyle w:val="105"/>
        <w:spacing w:before="156" w:after="156"/>
        <w:rPr>
          <w:rFonts w:ascii="Times New Roman"/>
        </w:rPr>
      </w:pPr>
      <w:r>
        <w:t>育苗阶段划分</w:t>
      </w:r>
    </w:p>
    <w:p>
      <w:pPr>
        <w:pStyle w:val="230"/>
        <w:rPr>
          <w:rFonts w:ascii="Times New Roman" w:hAnsi="Times New Roman" w:cs="Times New Roman"/>
        </w:rPr>
      </w:pPr>
      <w:r>
        <w:rPr>
          <w:rFonts w:cs="Times New Roman"/>
        </w:rPr>
        <w:t>育苗期</w:t>
      </w:r>
      <w:r>
        <w:rPr>
          <w:rFonts w:hint="eastAsia" w:cs="Times New Roman"/>
        </w:rPr>
        <w:t>可</w:t>
      </w:r>
      <w:r>
        <w:rPr>
          <w:rFonts w:cs="Times New Roman"/>
        </w:rPr>
        <w:t>分为出苗期</w:t>
      </w:r>
      <w:r>
        <w:rPr>
          <w:rFonts w:hint="eastAsia" w:cs="Times New Roman"/>
        </w:rPr>
        <w:t>、</w:t>
      </w:r>
      <w:r>
        <w:rPr>
          <w:rFonts w:cs="Times New Roman"/>
        </w:rPr>
        <w:t>子叶期</w:t>
      </w:r>
      <w:r>
        <w:rPr>
          <w:rFonts w:hint="eastAsia" w:cs="Times New Roman"/>
        </w:rPr>
        <w:t>、</w:t>
      </w:r>
      <w:r>
        <w:rPr>
          <w:rFonts w:cs="Times New Roman"/>
        </w:rPr>
        <w:t>真叶期</w:t>
      </w:r>
      <w:r>
        <w:rPr>
          <w:rFonts w:hint="eastAsia" w:cs="Times New Roman"/>
        </w:rPr>
        <w:t>、</w:t>
      </w:r>
      <w:r>
        <w:rPr>
          <w:rFonts w:cs="Times New Roman"/>
        </w:rPr>
        <w:t>成苗期</w:t>
      </w:r>
      <w:r>
        <w:rPr>
          <w:rFonts w:ascii="Times New Roman" w:hAnsi="Times New Roman" w:cs="Times New Roman"/>
        </w:rPr>
        <w:t>4</w:t>
      </w:r>
      <w:r>
        <w:rPr>
          <w:rFonts w:cs="Times New Roman"/>
        </w:rPr>
        <w:t>个阶段。</w:t>
      </w:r>
    </w:p>
    <w:p>
      <w:pPr>
        <w:pStyle w:val="105"/>
        <w:spacing w:before="156" w:after="156"/>
        <w:rPr>
          <w:rFonts w:ascii="Times New Roman"/>
        </w:rPr>
      </w:pPr>
      <w:r>
        <w:rPr>
          <w:rFonts w:hint="eastAsia"/>
        </w:rPr>
        <w:t>育苗</w:t>
      </w:r>
      <w:r>
        <w:t>环境管理</w:t>
      </w:r>
    </w:p>
    <w:p>
      <w:pPr>
        <w:pStyle w:val="65"/>
        <w:spacing w:before="156" w:after="156"/>
        <w:rPr>
          <w:rFonts w:ascii="Times New Roman"/>
        </w:rPr>
      </w:pPr>
      <w:r>
        <w:t>温度管理</w:t>
      </w:r>
    </w:p>
    <w:p>
      <w:pPr>
        <w:pStyle w:val="56"/>
        <w:ind w:firstLine="420"/>
        <w:rPr>
          <w:rFonts w:hAnsi="宋体"/>
        </w:rPr>
      </w:pPr>
      <w:r>
        <w:t>出苗期昼温控制在</w:t>
      </w:r>
      <w:r>
        <w:rPr>
          <w:rFonts w:hAnsi="宋体"/>
        </w:rPr>
        <w:t>26</w:t>
      </w:r>
      <w:r>
        <w:rPr>
          <w:rFonts w:hint="eastAsia" w:hAnsi="宋体"/>
        </w:rPr>
        <w:t xml:space="preserve"> ℃</w:t>
      </w:r>
      <w:r>
        <w:t>～</w:t>
      </w:r>
      <w:r>
        <w:rPr>
          <w:rFonts w:hAnsi="宋体"/>
        </w:rPr>
        <w:t>30</w:t>
      </w:r>
      <w:r>
        <w:rPr>
          <w:rFonts w:hint="eastAsia" w:hAnsi="宋体"/>
        </w:rPr>
        <w:t xml:space="preserve"> ℃</w:t>
      </w:r>
      <w:r>
        <w:t>，夜温</w:t>
      </w:r>
      <w:r>
        <w:rPr>
          <w:rFonts w:hAnsi="宋体"/>
        </w:rPr>
        <w:t>20</w:t>
      </w:r>
      <w:r>
        <w:rPr>
          <w:rFonts w:hint="eastAsia" w:hAnsi="宋体"/>
        </w:rPr>
        <w:t xml:space="preserve"> ℃</w:t>
      </w:r>
      <w:r>
        <w:t>～</w:t>
      </w:r>
      <w:r>
        <w:rPr>
          <w:rFonts w:hAnsi="宋体"/>
        </w:rPr>
        <w:t>22</w:t>
      </w:r>
      <w:r>
        <w:rPr>
          <w:rFonts w:hint="eastAsia" w:hAnsi="宋体"/>
        </w:rPr>
        <w:t xml:space="preserve"> ℃</w:t>
      </w:r>
      <w:r>
        <w:t>；子叶期昼温控制在</w:t>
      </w:r>
      <w:r>
        <w:rPr>
          <w:rFonts w:hAnsi="宋体"/>
        </w:rPr>
        <w:t>18</w:t>
      </w:r>
      <w:r>
        <w:rPr>
          <w:rFonts w:hint="eastAsia" w:hAnsi="宋体"/>
        </w:rPr>
        <w:t xml:space="preserve"> ℃</w:t>
      </w:r>
      <w:r>
        <w:t>～</w:t>
      </w:r>
      <w:r>
        <w:rPr>
          <w:rFonts w:hAnsi="宋体"/>
        </w:rPr>
        <w:t>20</w:t>
      </w:r>
      <w:r>
        <w:rPr>
          <w:rFonts w:hint="eastAsia" w:hAnsi="宋体"/>
        </w:rPr>
        <w:t xml:space="preserve"> ℃</w:t>
      </w:r>
      <w:r>
        <w:t>，夜温</w:t>
      </w:r>
      <w:r>
        <w:rPr>
          <w:rFonts w:hAnsi="宋体"/>
        </w:rPr>
        <w:t>15</w:t>
      </w:r>
      <w:r>
        <w:rPr>
          <w:rFonts w:hint="eastAsia" w:hAnsi="宋体"/>
        </w:rPr>
        <w:t xml:space="preserve"> ℃</w:t>
      </w:r>
      <w:r>
        <w:t>～</w:t>
      </w:r>
      <w:r>
        <w:rPr>
          <w:rFonts w:hAnsi="宋体"/>
        </w:rPr>
        <w:t>16</w:t>
      </w:r>
      <w:r>
        <w:rPr>
          <w:rFonts w:hint="eastAsia" w:hAnsi="宋体"/>
        </w:rPr>
        <w:t xml:space="preserve"> ℃</w:t>
      </w:r>
      <w:r>
        <w:t>；真叶期昼温控制在</w:t>
      </w:r>
      <w:r>
        <w:rPr>
          <w:rFonts w:hAnsi="宋体"/>
        </w:rPr>
        <w:t>25</w:t>
      </w:r>
      <w:r>
        <w:rPr>
          <w:rFonts w:hint="eastAsia" w:hAnsi="宋体"/>
        </w:rPr>
        <w:t xml:space="preserve"> ℃</w:t>
      </w:r>
      <w:r>
        <w:t>～</w:t>
      </w:r>
      <w:r>
        <w:rPr>
          <w:rFonts w:hAnsi="宋体"/>
        </w:rPr>
        <w:t>30</w:t>
      </w:r>
      <w:r>
        <w:rPr>
          <w:rFonts w:hint="eastAsia" w:hAnsi="宋体"/>
        </w:rPr>
        <w:t xml:space="preserve"> ℃</w:t>
      </w:r>
      <w:r>
        <w:t>，夜温</w:t>
      </w:r>
      <w:r>
        <w:rPr>
          <w:rFonts w:hAnsi="宋体"/>
        </w:rPr>
        <w:t>15</w:t>
      </w:r>
      <w:r>
        <w:rPr>
          <w:rFonts w:hint="eastAsia" w:hAnsi="宋体"/>
        </w:rPr>
        <w:t xml:space="preserve"> ℃</w:t>
      </w:r>
      <w:r>
        <w:t>～</w:t>
      </w:r>
      <w:r>
        <w:rPr>
          <w:rFonts w:hAnsi="宋体"/>
        </w:rPr>
        <w:t>20</w:t>
      </w:r>
      <w:r>
        <w:rPr>
          <w:rFonts w:hint="eastAsia" w:hAnsi="宋体"/>
        </w:rPr>
        <w:t xml:space="preserve"> ℃</w:t>
      </w:r>
      <w:r>
        <w:t>；成苗期昼温控制在</w:t>
      </w:r>
      <w:r>
        <w:rPr>
          <w:rFonts w:hAnsi="宋体"/>
        </w:rPr>
        <w:t>20</w:t>
      </w:r>
      <w:r>
        <w:rPr>
          <w:rFonts w:hint="eastAsia" w:hAnsi="宋体"/>
        </w:rPr>
        <w:t xml:space="preserve"> ℃</w:t>
      </w:r>
      <w:r>
        <w:t>～</w:t>
      </w:r>
      <w:r>
        <w:rPr>
          <w:rFonts w:hAnsi="宋体"/>
        </w:rPr>
        <w:t>30</w:t>
      </w:r>
      <w:r>
        <w:rPr>
          <w:rFonts w:hint="eastAsia" w:hAnsi="宋体"/>
        </w:rPr>
        <w:t xml:space="preserve"> ℃</w:t>
      </w:r>
      <w:r>
        <w:t>，夜温</w:t>
      </w:r>
      <w:r>
        <w:rPr>
          <w:rFonts w:hAnsi="宋体"/>
        </w:rPr>
        <w:t>15</w:t>
      </w:r>
      <w:r>
        <w:rPr>
          <w:rFonts w:hint="eastAsia" w:hAnsi="宋体"/>
        </w:rPr>
        <w:t xml:space="preserve"> ℃</w:t>
      </w:r>
      <w:r>
        <w:t>～</w:t>
      </w:r>
      <w:r>
        <w:rPr>
          <w:rFonts w:hAnsi="宋体"/>
        </w:rPr>
        <w:t>18</w:t>
      </w:r>
      <w:r>
        <w:rPr>
          <w:rFonts w:hint="eastAsia" w:hAnsi="宋体"/>
        </w:rPr>
        <w:t xml:space="preserve"> ℃</w:t>
      </w:r>
      <w:r>
        <w:t>。</w:t>
      </w:r>
      <w:r>
        <w:rPr>
          <w:rFonts w:hint="eastAsia"/>
        </w:rPr>
        <w:t>采用</w:t>
      </w:r>
      <w:r>
        <w:t>嫁接</w:t>
      </w:r>
      <w:r>
        <w:rPr>
          <w:rFonts w:hint="eastAsia"/>
        </w:rPr>
        <w:t>育苗时，各阶段</w:t>
      </w:r>
      <w:r>
        <w:t>昼温</w:t>
      </w:r>
      <w:r>
        <w:rPr>
          <w:rFonts w:hint="eastAsia"/>
        </w:rPr>
        <w:t>、</w:t>
      </w:r>
      <w:r>
        <w:t>夜温</w:t>
      </w:r>
      <w:r>
        <w:rPr>
          <w:rFonts w:hint="eastAsia"/>
        </w:rPr>
        <w:t>要提高</w:t>
      </w:r>
      <w:r>
        <w:rPr>
          <w:rFonts w:hint="eastAsia" w:hAnsi="宋体"/>
        </w:rPr>
        <w:t>2 ℃</w:t>
      </w:r>
      <w:r>
        <w:t>～</w:t>
      </w:r>
      <w:r>
        <w:rPr>
          <w:rFonts w:hint="eastAsia" w:hAnsi="宋体"/>
        </w:rPr>
        <w:t>3 ℃</w:t>
      </w:r>
      <w:r>
        <w:rPr>
          <w:rFonts w:hint="eastAsia"/>
        </w:rPr>
        <w:t>，促进嫁接苗</w:t>
      </w:r>
      <w:r>
        <w:t>愈合</w:t>
      </w:r>
      <w:r>
        <w:rPr>
          <w:rFonts w:hint="eastAsia"/>
        </w:rPr>
        <w:t>、成活。</w:t>
      </w:r>
    </w:p>
    <w:p>
      <w:pPr>
        <w:pStyle w:val="65"/>
        <w:spacing w:before="156" w:after="156"/>
        <w:rPr>
          <w:rFonts w:ascii="Times New Roman"/>
        </w:rPr>
      </w:pPr>
      <w:r>
        <w:t>湿度管理</w:t>
      </w:r>
      <w:r>
        <w:rPr>
          <w:rFonts w:ascii="Times New Roman"/>
        </w:rPr>
        <w:t xml:space="preserve"> </w:t>
      </w:r>
    </w:p>
    <w:p>
      <w:pPr>
        <w:pStyle w:val="56"/>
        <w:ind w:firstLine="420"/>
        <w:rPr>
          <w:rFonts w:hAnsi="宋体"/>
        </w:rPr>
      </w:pPr>
      <w:r>
        <w:t>出苗期空气相对湿度保持在</w:t>
      </w:r>
      <w:r>
        <w:rPr>
          <w:rFonts w:hAnsi="宋体"/>
        </w:rPr>
        <w:t>90%</w:t>
      </w:r>
      <w:r>
        <w:t>，基质相对湿度</w:t>
      </w:r>
      <w:r>
        <w:rPr>
          <w:rFonts w:hAnsi="宋体"/>
        </w:rPr>
        <w:t>80%</w:t>
      </w:r>
      <w:r>
        <w:t>；子叶期空气相对湿度</w:t>
      </w:r>
      <w:r>
        <w:rPr>
          <w:rFonts w:hAnsi="宋体"/>
        </w:rPr>
        <w:t>35%</w:t>
      </w:r>
      <w:r>
        <w:t>～</w:t>
      </w:r>
      <w:r>
        <w:rPr>
          <w:rFonts w:hAnsi="宋体"/>
        </w:rPr>
        <w:t>45%</w:t>
      </w:r>
      <w:r>
        <w:t>，基质相对湿度</w:t>
      </w:r>
      <w:r>
        <w:rPr>
          <w:rFonts w:hAnsi="宋体"/>
        </w:rPr>
        <w:t>50%</w:t>
      </w:r>
      <w:r>
        <w:t>；真叶期空气相对湿度保持在</w:t>
      </w:r>
      <w:r>
        <w:rPr>
          <w:rFonts w:hAnsi="宋体"/>
        </w:rPr>
        <w:t>45%</w:t>
      </w:r>
      <w:r>
        <w:t>～</w:t>
      </w:r>
      <w:r>
        <w:rPr>
          <w:rFonts w:hAnsi="宋体"/>
        </w:rPr>
        <w:t>60%</w:t>
      </w:r>
      <w:r>
        <w:t>，基质相对湿度</w:t>
      </w:r>
      <w:r>
        <w:rPr>
          <w:rFonts w:hAnsi="宋体"/>
        </w:rPr>
        <w:t>50%</w:t>
      </w:r>
      <w:r>
        <w:t>～</w:t>
      </w:r>
      <w:r>
        <w:rPr>
          <w:rFonts w:hAnsi="宋体"/>
        </w:rPr>
        <w:t>60%</w:t>
      </w:r>
      <w:r>
        <w:t>；成苗期空气相对湿度保持在</w:t>
      </w:r>
      <w:r>
        <w:rPr>
          <w:rFonts w:hAnsi="宋体"/>
        </w:rPr>
        <w:t>35%</w:t>
      </w:r>
      <w:r>
        <w:t>～</w:t>
      </w:r>
      <w:r>
        <w:rPr>
          <w:rFonts w:hAnsi="宋体"/>
        </w:rPr>
        <w:t>40%</w:t>
      </w:r>
      <w:r>
        <w:t>，基质相对湿度</w:t>
      </w:r>
      <w:r>
        <w:rPr>
          <w:rFonts w:hAnsi="宋体"/>
        </w:rPr>
        <w:t>40%</w:t>
      </w:r>
      <w:r>
        <w:t>～</w:t>
      </w:r>
      <w:r>
        <w:rPr>
          <w:rFonts w:hAnsi="宋体"/>
        </w:rPr>
        <w:t>50%</w:t>
      </w:r>
      <w:r>
        <w:rPr>
          <w:rFonts w:hint="eastAsia"/>
        </w:rPr>
        <w:t>；采用嫁接育苗，</w:t>
      </w:r>
      <w:r>
        <w:t>嫁接后</w:t>
      </w:r>
      <w:r>
        <w:rPr>
          <w:rFonts w:hAnsi="宋体"/>
        </w:rPr>
        <w:t>1</w:t>
      </w:r>
      <w:r>
        <w:rPr>
          <w:rFonts w:hint="eastAsia" w:hAnsi="宋体"/>
        </w:rPr>
        <w:t xml:space="preserve"> </w:t>
      </w:r>
      <w:r>
        <w:rPr>
          <w:rFonts w:hAnsi="宋体"/>
        </w:rPr>
        <w:t>d</w:t>
      </w:r>
      <w:r>
        <w:t>～</w:t>
      </w:r>
      <w:r>
        <w:rPr>
          <w:rFonts w:hAnsi="宋体"/>
        </w:rPr>
        <w:t>2</w:t>
      </w:r>
      <w:r>
        <w:rPr>
          <w:rFonts w:hint="eastAsia" w:hAnsi="宋体"/>
        </w:rPr>
        <w:t xml:space="preserve"> </w:t>
      </w:r>
      <w:r>
        <w:rPr>
          <w:rFonts w:hAnsi="宋体"/>
        </w:rPr>
        <w:t>d</w:t>
      </w:r>
      <w:r>
        <w:t>苗床</w:t>
      </w:r>
      <w:r>
        <w:rPr>
          <w:rFonts w:hint="eastAsia"/>
        </w:rPr>
        <w:t>覆盖</w:t>
      </w:r>
      <w:r>
        <w:t>密闭，空气湿度</w:t>
      </w:r>
      <w:r>
        <w:rPr>
          <w:rFonts w:hint="eastAsia"/>
        </w:rPr>
        <w:t>要达</w:t>
      </w:r>
      <w:r>
        <w:t>到饱和</w:t>
      </w:r>
      <w:r>
        <w:rPr>
          <w:rFonts w:hint="eastAsia"/>
        </w:rPr>
        <w:t>。</w:t>
      </w:r>
      <w:r>
        <w:rPr>
          <w:rFonts w:hAnsi="宋体"/>
        </w:rPr>
        <w:t>3</w:t>
      </w:r>
      <w:r>
        <w:rPr>
          <w:rFonts w:hint="eastAsia" w:hAnsi="宋体"/>
        </w:rPr>
        <w:t xml:space="preserve"> </w:t>
      </w:r>
      <w:r>
        <w:rPr>
          <w:rFonts w:hAnsi="宋体"/>
        </w:rPr>
        <w:t>d</w:t>
      </w:r>
      <w:r>
        <w:t>～</w:t>
      </w:r>
      <w:r>
        <w:rPr>
          <w:rFonts w:hAnsi="宋体"/>
        </w:rPr>
        <w:t>4</w:t>
      </w:r>
      <w:r>
        <w:rPr>
          <w:rFonts w:hint="eastAsia" w:hAnsi="宋体"/>
        </w:rPr>
        <w:t xml:space="preserve"> </w:t>
      </w:r>
      <w:r>
        <w:rPr>
          <w:rFonts w:hAnsi="宋体"/>
        </w:rPr>
        <w:t>d</w:t>
      </w:r>
      <w:r>
        <w:t>后，</w:t>
      </w:r>
      <w:r>
        <w:rPr>
          <w:rFonts w:hint="eastAsia"/>
        </w:rPr>
        <w:t>空气</w:t>
      </w:r>
      <w:r>
        <w:t>湿度保持在</w:t>
      </w:r>
      <w:r>
        <w:rPr>
          <w:rFonts w:hAnsi="宋体"/>
        </w:rPr>
        <w:t>95%</w:t>
      </w:r>
      <w:r>
        <w:t>以上</w:t>
      </w:r>
      <w:r>
        <w:rPr>
          <w:rFonts w:hint="eastAsia"/>
        </w:rPr>
        <w:t>。</w:t>
      </w:r>
      <w:r>
        <w:rPr>
          <w:rFonts w:hAnsi="宋体"/>
        </w:rPr>
        <w:t>5</w:t>
      </w:r>
      <w:r>
        <w:rPr>
          <w:rFonts w:hint="eastAsia" w:hAnsi="宋体"/>
        </w:rPr>
        <w:t xml:space="preserve"> </w:t>
      </w:r>
      <w:r>
        <w:rPr>
          <w:rFonts w:hAnsi="宋体"/>
        </w:rPr>
        <w:t>d</w:t>
      </w:r>
      <w:r>
        <w:t>后逐渐加大通风量，</w:t>
      </w:r>
      <w:r>
        <w:rPr>
          <w:rFonts w:hint="eastAsia"/>
        </w:rPr>
        <w:t>空气</w:t>
      </w:r>
      <w:r>
        <w:t>湿度保持在</w:t>
      </w:r>
      <w:r>
        <w:rPr>
          <w:rFonts w:hAnsi="宋体"/>
        </w:rPr>
        <w:t>85%</w:t>
      </w:r>
      <w:r>
        <w:t>，</w:t>
      </w:r>
      <w:r>
        <w:rPr>
          <w:rFonts w:hint="eastAsia"/>
        </w:rPr>
        <w:t>并</w:t>
      </w:r>
      <w:r>
        <w:t>反复炼苗。</w:t>
      </w:r>
      <w:r>
        <w:rPr>
          <w:rFonts w:hint="eastAsia" w:hAnsi="宋体"/>
        </w:rPr>
        <w:t>7 d</w:t>
      </w:r>
      <w:r>
        <w:t>后</w:t>
      </w:r>
      <w:r>
        <w:rPr>
          <w:rFonts w:hint="eastAsia"/>
        </w:rPr>
        <w:t>空气</w:t>
      </w:r>
      <w:r>
        <w:t>湿度保持在</w:t>
      </w:r>
      <w:r>
        <w:rPr>
          <w:rFonts w:hAnsi="宋体"/>
        </w:rPr>
        <w:t>75%</w:t>
      </w:r>
      <w:r>
        <w:t>～</w:t>
      </w:r>
      <w:r>
        <w:rPr>
          <w:rFonts w:hAnsi="宋体"/>
        </w:rPr>
        <w:t>80%</w:t>
      </w:r>
      <w:r>
        <w:t xml:space="preserve">。 </w:t>
      </w:r>
    </w:p>
    <w:p>
      <w:pPr>
        <w:pStyle w:val="65"/>
        <w:spacing w:before="156" w:after="156"/>
        <w:rPr>
          <w:rFonts w:ascii="Times New Roman"/>
        </w:rPr>
      </w:pPr>
      <w:r>
        <w:t>光照管理</w:t>
      </w:r>
    </w:p>
    <w:p>
      <w:pPr>
        <w:pStyle w:val="56"/>
        <w:ind w:firstLine="420"/>
        <w:rPr>
          <w:rFonts w:hAnsi="宋体"/>
        </w:rPr>
      </w:pPr>
      <w:r>
        <w:t>育苗期设施内光照时间保持在</w:t>
      </w:r>
      <w:r>
        <w:rPr>
          <w:rFonts w:hAnsi="宋体"/>
        </w:rPr>
        <w:t>8</w:t>
      </w:r>
      <w:r>
        <w:rPr>
          <w:rFonts w:hint="eastAsia" w:hAnsi="宋体"/>
        </w:rPr>
        <w:t xml:space="preserve"> </w:t>
      </w:r>
      <w:r>
        <w:rPr>
          <w:rFonts w:hAnsi="宋体"/>
        </w:rPr>
        <w:t>h</w:t>
      </w:r>
      <w:r>
        <w:t>～</w:t>
      </w:r>
      <w:r>
        <w:rPr>
          <w:rFonts w:hAnsi="宋体"/>
        </w:rPr>
        <w:t>12 h</w:t>
      </w:r>
      <w:r>
        <w:t>，随幼苗</w:t>
      </w:r>
      <w:r>
        <w:rPr>
          <w:rFonts w:hint="eastAsia"/>
        </w:rPr>
        <w:t>生长</w:t>
      </w:r>
      <w:r>
        <w:t>发育逐步提高光照强度，出苗期至子叶期中午强光时段加盖遮阳网。</w:t>
      </w:r>
      <w:r>
        <w:rPr>
          <w:rFonts w:hint="eastAsia"/>
        </w:rPr>
        <w:t>成苗</w:t>
      </w:r>
      <w:r>
        <w:t>阶段设施内光照应接接近自然光</w:t>
      </w:r>
      <w:r>
        <w:rPr>
          <w:rFonts w:hint="eastAsia"/>
        </w:rPr>
        <w:t>；嫁接育苗</w:t>
      </w:r>
      <w:r>
        <w:rPr>
          <w:rFonts w:hAnsi="宋体"/>
        </w:rPr>
        <w:t>1</w:t>
      </w:r>
      <w:r>
        <w:rPr>
          <w:rFonts w:hint="eastAsia" w:hAnsi="宋体"/>
        </w:rPr>
        <w:t xml:space="preserve"> </w:t>
      </w:r>
      <w:r>
        <w:rPr>
          <w:rFonts w:hAnsi="宋体"/>
        </w:rPr>
        <w:t>d</w:t>
      </w:r>
      <w:r>
        <w:t>～</w:t>
      </w:r>
      <w:r>
        <w:rPr>
          <w:rFonts w:hAnsi="宋体"/>
        </w:rPr>
        <w:t>3</w:t>
      </w:r>
      <w:r>
        <w:rPr>
          <w:rFonts w:hint="eastAsia" w:hAnsi="宋体"/>
        </w:rPr>
        <w:t xml:space="preserve"> </w:t>
      </w:r>
      <w:r>
        <w:rPr>
          <w:rFonts w:hAnsi="宋体"/>
        </w:rPr>
        <w:t>d</w:t>
      </w:r>
      <w:r>
        <w:rPr>
          <w:rFonts w:hint="eastAsia"/>
        </w:rPr>
        <w:t>时</w:t>
      </w:r>
      <w:r>
        <w:t>，嫁接苗可适当见光</w:t>
      </w:r>
      <w:r>
        <w:rPr>
          <w:rFonts w:hint="eastAsia"/>
        </w:rPr>
        <w:t>。</w:t>
      </w:r>
      <w:r>
        <w:t>嫁接后</w:t>
      </w:r>
      <w:r>
        <w:rPr>
          <w:rFonts w:hAnsi="宋体"/>
        </w:rPr>
        <w:t>4</w:t>
      </w:r>
      <w:r>
        <w:rPr>
          <w:rFonts w:hint="eastAsia" w:hAnsi="宋体"/>
        </w:rPr>
        <w:t xml:space="preserve"> </w:t>
      </w:r>
      <w:r>
        <w:rPr>
          <w:rFonts w:hAnsi="宋体"/>
        </w:rPr>
        <w:t>d</w:t>
      </w:r>
      <w:r>
        <w:t>～</w:t>
      </w:r>
      <w:r>
        <w:rPr>
          <w:rFonts w:hAnsi="宋体"/>
        </w:rPr>
        <w:t>7</w:t>
      </w:r>
      <w:r>
        <w:rPr>
          <w:rFonts w:hint="eastAsia" w:hAnsi="宋体"/>
        </w:rPr>
        <w:t xml:space="preserve"> </w:t>
      </w:r>
      <w:r>
        <w:rPr>
          <w:rFonts w:hAnsi="宋体"/>
        </w:rPr>
        <w:t>d</w:t>
      </w:r>
      <w:r>
        <w:t>早晚见光，中午遮荫</w:t>
      </w:r>
      <w:r>
        <w:rPr>
          <w:rFonts w:hint="eastAsia"/>
        </w:rPr>
        <w:t>。</w:t>
      </w:r>
      <w:r>
        <w:t>嫁接后</w:t>
      </w:r>
      <w:r>
        <w:rPr>
          <w:rFonts w:hAnsi="宋体"/>
        </w:rPr>
        <w:t>10</w:t>
      </w:r>
      <w:r>
        <w:rPr>
          <w:rFonts w:hint="eastAsia" w:hAnsi="宋体"/>
        </w:rPr>
        <w:t xml:space="preserve"> </w:t>
      </w:r>
      <w:r>
        <w:rPr>
          <w:rFonts w:hAnsi="宋体"/>
        </w:rPr>
        <w:t>d</w:t>
      </w:r>
      <w:r>
        <w:t>～</w:t>
      </w:r>
      <w:r>
        <w:rPr>
          <w:rFonts w:hAnsi="宋体"/>
        </w:rPr>
        <w:t>12</w:t>
      </w:r>
      <w:r>
        <w:rPr>
          <w:rFonts w:hint="eastAsia" w:hAnsi="宋体"/>
        </w:rPr>
        <w:t xml:space="preserve"> </w:t>
      </w:r>
      <w:r>
        <w:rPr>
          <w:rFonts w:hAnsi="宋体"/>
        </w:rPr>
        <w:t>d</w:t>
      </w:r>
      <w:r>
        <w:t>可不遮荫。</w:t>
      </w:r>
    </w:p>
    <w:p>
      <w:pPr>
        <w:pStyle w:val="105"/>
        <w:spacing w:before="156" w:after="156"/>
        <w:rPr>
          <w:rFonts w:ascii="Times New Roman"/>
        </w:rPr>
      </w:pPr>
      <w:r>
        <w:t>养分管理</w:t>
      </w:r>
      <w:r>
        <w:rPr>
          <w:rFonts w:ascii="Times New Roman"/>
        </w:rPr>
        <w:t xml:space="preserve"> </w:t>
      </w:r>
    </w:p>
    <w:p>
      <w:pPr>
        <w:pStyle w:val="56"/>
        <w:ind w:firstLine="420"/>
      </w:pPr>
      <w:r>
        <w:t>出苗期、子叶期基本不施肥；真叶期每周交替灌溉2次～3次含微量元素水溶肥料1</w:t>
      </w:r>
      <w:r>
        <w:rPr>
          <w:rFonts w:hint="eastAsia"/>
          <w:lang w:val="en-US" w:eastAsia="zh-CN"/>
        </w:rPr>
        <w:t xml:space="preserve"> 0</w:t>
      </w:r>
      <w:r>
        <w:t>00倍～2</w:t>
      </w:r>
      <w:r>
        <w:rPr>
          <w:rFonts w:hint="eastAsia"/>
          <w:lang w:val="en-US" w:eastAsia="zh-CN"/>
        </w:rPr>
        <w:t xml:space="preserve"> </w:t>
      </w:r>
      <w:r>
        <w:t>000倍液；成苗期要结合控水控湿，可施用1次含微量元素水溶肥料1</w:t>
      </w:r>
      <w:r>
        <w:rPr>
          <w:rFonts w:hint="eastAsia"/>
          <w:lang w:val="en-US" w:eastAsia="zh-CN"/>
        </w:rPr>
        <w:t xml:space="preserve"> </w:t>
      </w:r>
      <w:r>
        <w:t>000倍液。</w:t>
      </w:r>
    </w:p>
    <w:p>
      <w:pPr>
        <w:pStyle w:val="105"/>
        <w:spacing w:before="156" w:after="156"/>
        <w:rPr>
          <w:rFonts w:ascii="Times New Roman"/>
        </w:rPr>
      </w:pPr>
      <w:r>
        <w:t>花芽分化调控</w:t>
      </w:r>
    </w:p>
    <w:p>
      <w:pPr>
        <w:pStyle w:val="230"/>
        <w:rPr>
          <w:rFonts w:cs="Times New Roman"/>
        </w:rPr>
      </w:pPr>
      <w:r>
        <w:rPr>
          <w:rFonts w:cs="Times New Roman"/>
        </w:rPr>
        <w:t>子叶期、真叶期要保持一定时间</w:t>
      </w:r>
      <w:r>
        <w:rPr>
          <w:rFonts w:hint="eastAsia" w:cs="Times New Roman"/>
        </w:rPr>
        <w:t>的</w:t>
      </w:r>
      <w:r>
        <w:rPr>
          <w:rFonts w:cs="Times New Roman"/>
        </w:rPr>
        <w:t>低夜温，促进雌花分化和形成。</w:t>
      </w:r>
    </w:p>
    <w:p>
      <w:pPr>
        <w:pStyle w:val="105"/>
        <w:spacing w:before="156" w:after="156"/>
        <w:rPr>
          <w:rFonts w:ascii="Times New Roman"/>
        </w:rPr>
      </w:pPr>
      <w:r>
        <w:t>摘除萌蘖</w:t>
      </w:r>
    </w:p>
    <w:p>
      <w:pPr>
        <w:pStyle w:val="230"/>
        <w:rPr>
          <w:rFonts w:cs="Times New Roman"/>
        </w:rPr>
      </w:pPr>
      <w:r>
        <w:rPr>
          <w:rFonts w:cs="Times New Roman"/>
        </w:rPr>
        <w:t>嫁接苗成活后，及时摘除砧木上萌发的不定芽。</w:t>
      </w:r>
    </w:p>
    <w:p>
      <w:pPr>
        <w:pStyle w:val="104"/>
        <w:spacing w:before="312" w:after="312"/>
        <w:rPr>
          <w:rFonts w:ascii="Times New Roman"/>
        </w:rPr>
      </w:pPr>
      <w:r>
        <w:t>病虫害防治</w:t>
      </w:r>
    </w:p>
    <w:p>
      <w:pPr>
        <w:pStyle w:val="105"/>
        <w:spacing w:before="156" w:after="156"/>
        <w:rPr>
          <w:rFonts w:ascii="Times New Roman"/>
        </w:rPr>
      </w:pPr>
      <w:r>
        <w:t>防治原则</w:t>
      </w:r>
    </w:p>
    <w:p>
      <w:pPr>
        <w:pStyle w:val="230"/>
        <w:rPr>
          <w:rFonts w:cs="Times New Roman"/>
        </w:rPr>
      </w:pPr>
      <w:r>
        <w:rPr>
          <w:rFonts w:cs="Times New Roman"/>
        </w:rPr>
        <w:t>采用农业防治、物理防治、生物防治、化学防治相结合的绿色综合防控技术，综合应用物理防治、生物防治和化学防治等防控措施。</w:t>
      </w:r>
    </w:p>
    <w:p>
      <w:pPr>
        <w:pStyle w:val="105"/>
        <w:spacing w:before="156" w:after="156"/>
        <w:rPr>
          <w:rFonts w:ascii="Times New Roman"/>
        </w:rPr>
      </w:pPr>
      <w:r>
        <w:t>物理防治</w:t>
      </w:r>
    </w:p>
    <w:p>
      <w:pPr>
        <w:pStyle w:val="230"/>
        <w:rPr>
          <w:rFonts w:cs="Times New Roman"/>
        </w:rPr>
      </w:pPr>
      <w:r>
        <w:rPr>
          <w:rFonts w:cs="Times New Roman"/>
        </w:rPr>
        <w:t>育苗期间，设施通风口、进出通道用防虫网屏蔽，室内悬挂粘虫板，释放天敌等。</w:t>
      </w:r>
    </w:p>
    <w:p>
      <w:pPr>
        <w:pStyle w:val="105"/>
        <w:spacing w:before="156" w:after="156"/>
        <w:rPr>
          <w:rFonts w:ascii="Times New Roman"/>
        </w:rPr>
      </w:pPr>
      <w:r>
        <w:t>化学防治</w:t>
      </w:r>
    </w:p>
    <w:p>
      <w:pPr>
        <w:pStyle w:val="230"/>
        <w:rPr>
          <w:rFonts w:cs="Times New Roman"/>
        </w:rPr>
      </w:pPr>
      <w:r>
        <w:rPr>
          <w:rFonts w:cs="Times New Roman"/>
        </w:rPr>
        <w:t>在子叶期、炼苗期，可叶面喷施72.2%霜霉威盐酸盐水剂600倍～800倍液，或15%噁霉灵水剂500倍液，或70%甲基硫菌灵可湿性粉剂800倍～1</w:t>
      </w:r>
      <w:r>
        <w:rPr>
          <w:rFonts w:hint="eastAsia" w:cs="Times New Roman"/>
          <w:lang w:val="en-US" w:eastAsia="zh-CN"/>
        </w:rPr>
        <w:t xml:space="preserve"> </w:t>
      </w:r>
      <w:bookmarkStart w:id="69" w:name="_GoBack"/>
      <w:bookmarkEnd w:id="69"/>
      <w:r>
        <w:rPr>
          <w:rFonts w:cs="Times New Roman"/>
        </w:rPr>
        <w:t>000倍液，或3%噻霉酮水分散粒剂750倍～1</w:t>
      </w:r>
      <w:r>
        <w:rPr>
          <w:rFonts w:hint="eastAsia" w:cs="Times New Roman"/>
          <w:lang w:val="en-US" w:eastAsia="zh-CN"/>
        </w:rPr>
        <w:t xml:space="preserve"> </w:t>
      </w:r>
      <w:r>
        <w:rPr>
          <w:rFonts w:cs="Times New Roman"/>
        </w:rPr>
        <w:t>000倍液等防治猝倒病、霜霉病等病害</w:t>
      </w:r>
      <w:r>
        <w:rPr>
          <w:rFonts w:hint="eastAsia" w:cs="Times New Roman"/>
        </w:rPr>
        <w:t>。</w:t>
      </w:r>
      <w:r>
        <w:rPr>
          <w:rFonts w:cs="Times New Roman"/>
        </w:rPr>
        <w:t>叶面喷施10%吡虫啉可湿性粉剂1</w:t>
      </w:r>
      <w:r>
        <w:rPr>
          <w:rFonts w:hint="eastAsia" w:cs="Times New Roman"/>
        </w:rPr>
        <w:t xml:space="preserve"> </w:t>
      </w:r>
      <w:r>
        <w:rPr>
          <w:rFonts w:cs="Times New Roman"/>
        </w:rPr>
        <w:t>000倍～1</w:t>
      </w:r>
      <w:r>
        <w:rPr>
          <w:rFonts w:hint="eastAsia" w:cs="Times New Roman"/>
        </w:rPr>
        <w:t xml:space="preserve"> </w:t>
      </w:r>
      <w:r>
        <w:rPr>
          <w:rFonts w:cs="Times New Roman"/>
        </w:rPr>
        <w:t>500倍液或25%噻虫嗪水分散粒剂5</w:t>
      </w:r>
      <w:r>
        <w:rPr>
          <w:rFonts w:hint="eastAsia" w:cs="Times New Roman"/>
          <w:lang w:val="en-US" w:eastAsia="zh-CN"/>
        </w:rPr>
        <w:t xml:space="preserve"> </w:t>
      </w:r>
      <w:r>
        <w:rPr>
          <w:rFonts w:cs="Times New Roman"/>
        </w:rPr>
        <w:t>000倍液防治粉虱、蓟马等虫害。药剂使用量及方法符合GB/T 8321</w:t>
      </w:r>
      <w:r>
        <w:rPr>
          <w:rFonts w:hint="eastAsia" w:cs="Times New Roman"/>
        </w:rPr>
        <w:t>（所有部分）农药合理使用准则</w:t>
      </w:r>
      <w:r>
        <w:rPr>
          <w:rFonts w:cs="Times New Roman"/>
        </w:rPr>
        <w:t>的规定。</w:t>
      </w:r>
    </w:p>
    <w:p>
      <w:pPr>
        <w:pStyle w:val="104"/>
        <w:spacing w:before="312" w:after="312"/>
        <w:rPr>
          <w:rFonts w:ascii="Times New Roman"/>
        </w:rPr>
      </w:pPr>
      <w:bookmarkStart w:id="61" w:name="_Toc165654892"/>
      <w:bookmarkStart w:id="62" w:name="_Toc165654910"/>
      <w:r>
        <w:rPr>
          <w:rFonts w:hint="eastAsia"/>
        </w:rPr>
        <w:t>成品苗</w:t>
      </w:r>
      <w:r>
        <w:t>要求</w:t>
      </w:r>
      <w:bookmarkEnd w:id="61"/>
      <w:bookmarkEnd w:id="62"/>
    </w:p>
    <w:p>
      <w:pPr>
        <w:pStyle w:val="230"/>
        <w:rPr>
          <w:rFonts w:cs="Times New Roman"/>
        </w:rPr>
      </w:pPr>
      <w:r>
        <w:rPr>
          <w:rFonts w:cs="Times New Roman"/>
        </w:rPr>
        <w:t>叶色浓绿，株型紧凑，具2片～3片叶，茎粗3.5 mm～5.0 mm，株高12 cm～15 cm，根系白色、粗壮、成坨性好。</w:t>
      </w:r>
    </w:p>
    <w:p>
      <w:pPr>
        <w:pStyle w:val="104"/>
        <w:spacing w:before="312" w:after="312"/>
        <w:rPr>
          <w:rFonts w:ascii="Times New Roman"/>
        </w:rPr>
      </w:pPr>
      <w:bookmarkStart w:id="63" w:name="_Toc165654911"/>
      <w:bookmarkStart w:id="64" w:name="_Toc165654893"/>
      <w:r>
        <w:rPr>
          <w:rFonts w:hint="eastAsia"/>
        </w:rPr>
        <w:t>育苗档案</w:t>
      </w:r>
      <w:bookmarkEnd w:id="63"/>
      <w:bookmarkEnd w:id="64"/>
    </w:p>
    <w:p>
      <w:pPr>
        <w:pStyle w:val="230"/>
        <w:rPr>
          <w:rFonts w:cs="Times New Roman"/>
        </w:rPr>
      </w:pPr>
      <w:r>
        <w:rPr>
          <w:rFonts w:cs="Times New Roman"/>
        </w:rPr>
        <w:t>建立西瓜集约化育苗档案。</w:t>
      </w:r>
      <w:r>
        <w:rPr>
          <w:rFonts w:hint="eastAsia" w:cs="Times New Roman"/>
        </w:rPr>
        <w:t>记录作物种类、播种量、育苗面积、催芽时间、出苗时间等内容，具体内容见附录A</w:t>
      </w:r>
      <w:r>
        <w:rPr>
          <w:rFonts w:cs="Times New Roman"/>
        </w:rPr>
        <w:t>。</w:t>
      </w:r>
      <w:r>
        <w:rPr>
          <w:rFonts w:hint="eastAsia" w:cs="Times New Roman"/>
        </w:rPr>
        <w:t>育苗档案保存期不低于2年</w:t>
      </w:r>
      <w:r>
        <w:rPr>
          <w:rFonts w:cs="Times New Roman"/>
        </w:rPr>
        <w:t>。</w:t>
      </w:r>
    </w:p>
    <w:p>
      <w:pPr>
        <w:pStyle w:val="230"/>
        <w:rPr>
          <w:rFonts w:cs="Times New Roman"/>
        </w:rPr>
      </w:pPr>
    </w:p>
    <w:p>
      <w:pPr>
        <w:pStyle w:val="230"/>
        <w:rPr>
          <w:rFonts w:cs="Times New Roman"/>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3"/>
    <w:p>
      <w:pPr>
        <w:pStyle w:val="198"/>
        <w:rPr>
          <w:vanish w:val="0"/>
        </w:rPr>
      </w:pPr>
      <w:bookmarkStart w:id="65" w:name="BookMark5"/>
    </w:p>
    <w:p>
      <w:pPr>
        <w:pStyle w:val="199"/>
        <w:rPr>
          <w:vanish w:val="0"/>
        </w:rPr>
      </w:pPr>
    </w:p>
    <w:p>
      <w:pPr>
        <w:pStyle w:val="76"/>
        <w:spacing w:after="156"/>
      </w:pPr>
      <w:r>
        <w:br w:type="textWrapping"/>
      </w:r>
      <w:bookmarkStart w:id="66" w:name="_Toc165654912"/>
      <w:bookmarkStart w:id="67" w:name="_Toc165654894"/>
      <w:r>
        <w:rPr>
          <w:rFonts w:hint="eastAsia"/>
        </w:rPr>
        <w:t>（资料性）</w:t>
      </w:r>
      <w:r>
        <w:br w:type="textWrapping"/>
      </w:r>
      <w:r>
        <w:rPr>
          <w:rFonts w:hint="eastAsia"/>
        </w:rPr>
        <w:t>西瓜集约化育苗记录</w:t>
      </w:r>
      <w:bookmarkEnd w:id="66"/>
      <w:bookmarkEnd w:id="67"/>
    </w:p>
    <w:p>
      <w:pPr>
        <w:pStyle w:val="56"/>
        <w:ind w:firstLine="420"/>
      </w:pPr>
      <w:r>
        <w:rPr>
          <w:rFonts w:hint="eastAsia"/>
        </w:rPr>
        <w:t>西瓜集约化育苗生产记录具体内容见表A.1。</w:t>
      </w:r>
    </w:p>
    <w:p>
      <w:pPr>
        <w:pStyle w:val="77"/>
        <w:spacing w:before="156" w:after="156"/>
      </w:pPr>
      <w:r>
        <w:rPr>
          <w:rFonts w:hint="eastAsia"/>
        </w:rPr>
        <w:t>西瓜集约化育苗记录表</w:t>
      </w:r>
    </w:p>
    <w:tbl>
      <w:tblPr>
        <w:tblStyle w:val="26"/>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67"/>
        <w:gridCol w:w="1066"/>
        <w:gridCol w:w="1051"/>
        <w:gridCol w:w="367"/>
        <w:gridCol w:w="1024"/>
        <w:gridCol w:w="253"/>
        <w:gridCol w:w="915"/>
        <w:gridCol w:w="77"/>
        <w:gridCol w:w="1091"/>
        <w:gridCol w:w="186"/>
        <w:gridCol w:w="982"/>
        <w:gridCol w:w="151"/>
        <w:gridCol w:w="12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610" w:type="pct"/>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作物种类</w:t>
            </w:r>
          </w:p>
        </w:tc>
        <w:tc>
          <w:tcPr>
            <w:tcW w:w="557" w:type="pct"/>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41"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播种量（kg）</w:t>
            </w:r>
          </w:p>
        </w:tc>
        <w:tc>
          <w:tcPr>
            <w:tcW w:w="667"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518"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催芽时间</w:t>
            </w:r>
          </w:p>
        </w:tc>
        <w:tc>
          <w:tcPr>
            <w:tcW w:w="667"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592"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出芽时间</w:t>
            </w:r>
          </w:p>
        </w:tc>
        <w:tc>
          <w:tcPr>
            <w:tcW w:w="648" w:type="pct"/>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610" w:type="pct"/>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557" w:type="pct"/>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741"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667"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518"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667"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592"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648" w:type="pct"/>
            <w:vMerge w:val="continue"/>
            <w:shd w:val="clear" w:color="auto" w:fill="auto"/>
            <w:vAlign w:val="center"/>
          </w:tcPr>
          <w:p>
            <w:pPr>
              <w:widowControl/>
              <w:adjustRightInd/>
              <w:spacing w:line="240" w:lineRule="auto"/>
              <w:jc w:val="left"/>
              <w:rPr>
                <w:rFonts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610" w:type="pct"/>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作物品种</w:t>
            </w:r>
          </w:p>
        </w:tc>
        <w:tc>
          <w:tcPr>
            <w:tcW w:w="557" w:type="pct"/>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41"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育苗面积（㎡）</w:t>
            </w:r>
          </w:p>
        </w:tc>
        <w:tc>
          <w:tcPr>
            <w:tcW w:w="667"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518"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播种时间</w:t>
            </w:r>
          </w:p>
        </w:tc>
        <w:tc>
          <w:tcPr>
            <w:tcW w:w="667"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592" w:type="pct"/>
            <w:gridSpan w:val="2"/>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出苗时间</w:t>
            </w:r>
          </w:p>
        </w:tc>
        <w:tc>
          <w:tcPr>
            <w:tcW w:w="648" w:type="pct"/>
            <w:vMerge w:val="restar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610" w:type="pct"/>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557" w:type="pct"/>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741"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667"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518"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667"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592" w:type="pct"/>
            <w:gridSpan w:val="2"/>
            <w:vMerge w:val="continue"/>
            <w:shd w:val="clear" w:color="auto" w:fill="auto"/>
            <w:vAlign w:val="center"/>
          </w:tcPr>
          <w:p>
            <w:pPr>
              <w:widowControl/>
              <w:adjustRightInd/>
              <w:spacing w:line="240" w:lineRule="auto"/>
              <w:jc w:val="left"/>
              <w:rPr>
                <w:rFonts w:ascii="宋体" w:hAnsi="宋体"/>
                <w:color w:val="000000"/>
                <w:kern w:val="0"/>
                <w:sz w:val="18"/>
                <w:szCs w:val="18"/>
              </w:rPr>
            </w:pPr>
          </w:p>
        </w:tc>
        <w:tc>
          <w:tcPr>
            <w:tcW w:w="648" w:type="pct"/>
            <w:vMerge w:val="continue"/>
            <w:shd w:val="clear" w:color="auto" w:fill="auto"/>
            <w:vAlign w:val="center"/>
          </w:tcPr>
          <w:p>
            <w:pPr>
              <w:widowControl/>
              <w:adjustRightInd/>
              <w:spacing w:line="240" w:lineRule="auto"/>
              <w:jc w:val="left"/>
              <w:rPr>
                <w:rFonts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5000" w:type="pct"/>
            <w:gridSpan w:val="13"/>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育 苗 操 作 记 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10" w:type="pc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日 期</w:t>
            </w:r>
          </w:p>
        </w:tc>
        <w:tc>
          <w:tcPr>
            <w:tcW w:w="1106"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操作内容</w:t>
            </w:r>
          </w:p>
        </w:tc>
        <w:tc>
          <w:tcPr>
            <w:tcW w:w="727"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投入品名称</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使用量</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使用设备</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操作人</w:t>
            </w:r>
          </w:p>
        </w:tc>
        <w:tc>
          <w:tcPr>
            <w:tcW w:w="727"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技术负责人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10" w:type="pc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1106"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left"/>
              <w:rPr>
                <w:rFonts w:ascii="Times New Roman" w:hAnsi="Times New Roman"/>
                <w:color w:val="000000"/>
                <w:kern w:val="0"/>
                <w:sz w:val="20"/>
                <w:szCs w:val="20"/>
              </w:rPr>
            </w:pPr>
            <w:r>
              <w:rPr>
                <w:rFonts w:ascii="宋体" w:hAnsi="宋体"/>
                <w:color w:val="000000"/>
                <w:kern w:val="0"/>
                <w:sz w:val="20"/>
                <w:szCs w:val="20"/>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10" w:type="pc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1106"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left"/>
              <w:rPr>
                <w:rFonts w:ascii="Times New Roman" w:hAnsi="Times New Roman"/>
                <w:color w:val="000000"/>
                <w:kern w:val="0"/>
                <w:sz w:val="20"/>
                <w:szCs w:val="20"/>
              </w:rPr>
            </w:pPr>
            <w:r>
              <w:rPr>
                <w:rFonts w:ascii="宋体" w:hAnsi="宋体"/>
                <w:color w:val="000000"/>
                <w:kern w:val="0"/>
                <w:sz w:val="20"/>
                <w:szCs w:val="20"/>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10" w:type="pc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1106"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left"/>
              <w:rPr>
                <w:rFonts w:ascii="Times New Roman" w:hAnsi="Times New Roman"/>
                <w:color w:val="000000"/>
                <w:kern w:val="0"/>
                <w:sz w:val="20"/>
                <w:szCs w:val="20"/>
              </w:rPr>
            </w:pPr>
            <w:r>
              <w:rPr>
                <w:rFonts w:ascii="宋体" w:hAnsi="宋体"/>
                <w:color w:val="000000"/>
                <w:kern w:val="0"/>
                <w:sz w:val="20"/>
                <w:szCs w:val="20"/>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10" w:type="pc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1106"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left"/>
              <w:rPr>
                <w:rFonts w:ascii="Times New Roman" w:hAnsi="Times New Roman"/>
                <w:color w:val="000000"/>
                <w:kern w:val="0"/>
                <w:sz w:val="20"/>
                <w:szCs w:val="20"/>
              </w:rPr>
            </w:pPr>
            <w:r>
              <w:rPr>
                <w:rFonts w:ascii="宋体" w:hAnsi="宋体"/>
                <w:color w:val="000000"/>
                <w:kern w:val="0"/>
                <w:sz w:val="20"/>
                <w:szCs w:val="20"/>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10" w:type="pc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1106"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left"/>
              <w:rPr>
                <w:rFonts w:ascii="Times New Roman" w:hAnsi="Times New Roman"/>
                <w:color w:val="000000"/>
                <w:kern w:val="0"/>
                <w:sz w:val="20"/>
                <w:szCs w:val="20"/>
              </w:rPr>
            </w:pPr>
            <w:r>
              <w:rPr>
                <w:rFonts w:ascii="宋体" w:hAnsi="宋体"/>
                <w:color w:val="000000"/>
                <w:kern w:val="0"/>
                <w:sz w:val="20"/>
                <w:szCs w:val="20"/>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10" w:type="pc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1106"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left"/>
              <w:rPr>
                <w:rFonts w:ascii="Times New Roman" w:hAnsi="Times New Roman"/>
                <w:color w:val="000000"/>
                <w:kern w:val="0"/>
                <w:sz w:val="20"/>
                <w:szCs w:val="20"/>
              </w:rPr>
            </w:pPr>
            <w:r>
              <w:rPr>
                <w:rFonts w:ascii="宋体" w:hAnsi="宋体"/>
                <w:color w:val="000000"/>
                <w:kern w:val="0"/>
                <w:sz w:val="20"/>
                <w:szCs w:val="20"/>
              </w:rPr>
              <w:t>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610" w:type="pct"/>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1106"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610" w:type="pct"/>
            <w:gridSpan w:val="2"/>
            <w:shd w:val="clear" w:color="auto" w:fill="auto"/>
            <w:vAlign w:val="center"/>
          </w:tcPr>
          <w:p>
            <w:pPr>
              <w:widowControl/>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　</w:t>
            </w:r>
          </w:p>
        </w:tc>
        <w:tc>
          <w:tcPr>
            <w:tcW w:w="727" w:type="pct"/>
            <w:gridSpan w:val="2"/>
            <w:shd w:val="clear" w:color="auto" w:fill="auto"/>
            <w:vAlign w:val="center"/>
          </w:tcPr>
          <w:p>
            <w:pPr>
              <w:widowControl/>
              <w:adjustRightInd/>
              <w:spacing w:line="240" w:lineRule="auto"/>
              <w:jc w:val="left"/>
              <w:rPr>
                <w:rFonts w:ascii="Times New Roman" w:hAnsi="Times New Roman"/>
                <w:color w:val="000000"/>
                <w:kern w:val="0"/>
                <w:sz w:val="20"/>
                <w:szCs w:val="20"/>
              </w:rPr>
            </w:pPr>
            <w:r>
              <w:rPr>
                <w:rFonts w:ascii="宋体" w:hAnsi="宋体"/>
                <w:color w:val="000000"/>
                <w:kern w:val="0"/>
                <w:sz w:val="20"/>
                <w:szCs w:val="20"/>
              </w:rPr>
              <w:t>　</w:t>
            </w:r>
          </w:p>
        </w:tc>
      </w:tr>
      <w:bookmarkEnd w:id="65"/>
    </w:tbl>
    <w:p>
      <w:pPr>
        <w:pStyle w:val="56"/>
        <w:ind w:firstLine="0" w:firstLineChars="0"/>
        <w:jc w:val="center"/>
      </w:pPr>
      <w:bookmarkStart w:id="68"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a:stretch>
                      <a:fillRect/>
                    </a:stretch>
                  </pic:blipFill>
                  <pic:spPr>
                    <a:xfrm>
                      <a:off x="0" y="0"/>
                      <a:ext cx="1485900" cy="317500"/>
                    </a:xfrm>
                    <a:prstGeom prst="rect">
                      <a:avLst/>
                    </a:prstGeom>
                  </pic:spPr>
                </pic:pic>
              </a:graphicData>
            </a:graphic>
          </wp:inline>
        </w:drawing>
      </w:r>
      <w:bookmarkEnd w:id="68"/>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Light">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等线">
    <w:altName w:val="文泉驿微米黑"/>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912—2024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14/T 912—2024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912—2024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14/T 912—2024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912—2024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14/T 912—2024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14/T 912—2024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14/T 912—2024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true"/>
  <w:bordersDoNotSurroundFooter w:val="true"/>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evenAndOddHeaders w:val="true"/>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3MTlkNTlhZGRjN2Y0ZTU2MDhlOGM4Y2FiZjE5YTEifQ=="/>
  </w:docVars>
  <w:rsids>
    <w:rsidRoot w:val="008B01A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6A1"/>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6F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1D3"/>
    <w:rsid w:val="00281BB8"/>
    <w:rsid w:val="00281E9E"/>
    <w:rsid w:val="00282405"/>
    <w:rsid w:val="00285170"/>
    <w:rsid w:val="00285361"/>
    <w:rsid w:val="00285C4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162B"/>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0B1"/>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3B0E"/>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377"/>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87A"/>
    <w:rsid w:val="005C29B8"/>
    <w:rsid w:val="005C5F21"/>
    <w:rsid w:val="005C7156"/>
    <w:rsid w:val="005D0C75"/>
    <w:rsid w:val="005D4171"/>
    <w:rsid w:val="005D6A95"/>
    <w:rsid w:val="005D6B2C"/>
    <w:rsid w:val="005D6D9C"/>
    <w:rsid w:val="005E0777"/>
    <w:rsid w:val="005E2335"/>
    <w:rsid w:val="005E34CA"/>
    <w:rsid w:val="005E3C18"/>
    <w:rsid w:val="005E6812"/>
    <w:rsid w:val="005E7881"/>
    <w:rsid w:val="005E78E0"/>
    <w:rsid w:val="005F0D9C"/>
    <w:rsid w:val="005F21C0"/>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59D"/>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50F"/>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C66"/>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C59"/>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1AF"/>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201"/>
    <w:rsid w:val="008F70BD"/>
    <w:rsid w:val="008F788F"/>
    <w:rsid w:val="008F7EA2"/>
    <w:rsid w:val="00900BF1"/>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772"/>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149"/>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0F64"/>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04B"/>
    <w:rsid w:val="00CC39FF"/>
    <w:rsid w:val="00CC3C2F"/>
    <w:rsid w:val="00CC4AC8"/>
    <w:rsid w:val="00CC5233"/>
    <w:rsid w:val="00CC5DE6"/>
    <w:rsid w:val="00CC6E4E"/>
    <w:rsid w:val="00CC6FE8"/>
    <w:rsid w:val="00CC7202"/>
    <w:rsid w:val="00CD105D"/>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D6A"/>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4234"/>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D17576"/>
    <w:rsid w:val="158D4380"/>
    <w:rsid w:val="3C5938F5"/>
    <w:rsid w:val="3F584337"/>
    <w:rsid w:val="5F6A0B6E"/>
    <w:rsid w:val="FB478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1">
    <w:name w:val="章标题"/>
    <w:basedOn w:val="1"/>
    <w:next w:val="230"/>
    <w:qFormat/>
    <w:uiPriority w:val="0"/>
    <w:pPr>
      <w:widowControl/>
      <w:adjustRightInd/>
      <w:spacing w:beforeLines="100" w:afterLines="100" w:line="240" w:lineRule="auto"/>
      <w:outlineLvl w:val="1"/>
    </w:pPr>
    <w:rPr>
      <w:rFonts w:ascii="黑体" w:hAnsi="黑体" w:eastAsia="黑体" w:cs="宋体"/>
      <w:kern w:val="0"/>
    </w:rPr>
  </w:style>
  <w:style w:type="paragraph" w:customStyle="1" w:styleId="232">
    <w:name w:val="一级条标题"/>
    <w:basedOn w:val="1"/>
    <w:next w:val="230"/>
    <w:qFormat/>
    <w:uiPriority w:val="0"/>
    <w:pPr>
      <w:widowControl/>
      <w:adjustRightInd/>
      <w:spacing w:beforeLines="50" w:afterLines="50" w:line="240" w:lineRule="auto"/>
      <w:jc w:val="left"/>
      <w:outlineLvl w:val="2"/>
    </w:pPr>
    <w:rPr>
      <w:rFonts w:ascii="黑体" w:hAnsi="黑体" w:eastAsia="黑体" w:cs="宋体"/>
      <w:kern w:val="0"/>
    </w:rPr>
  </w:style>
  <w:style w:type="paragraph" w:customStyle="1" w:styleId="233">
    <w:name w:val="二级条标题"/>
    <w:basedOn w:val="232"/>
    <w:next w:val="230"/>
    <w:qFormat/>
    <w:uiPriority w:val="0"/>
    <w:pPr>
      <w:outlineLvl w:val="3"/>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1.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FDF13FCBC0640A08E5A3BD91FFCA5A9"/>
        <w:style w:val=""/>
        <w:category>
          <w:name w:val="常规"/>
          <w:gallery w:val="placeholder"/>
        </w:category>
        <w:types>
          <w:type w:val="bbPlcHdr"/>
        </w:types>
        <w:behaviors>
          <w:behavior w:val="content"/>
        </w:behaviors>
        <w:description w:val=""/>
        <w:guid w:val="{4F83889A-7F91-4113-A678-68E7462678D0}"/>
      </w:docPartPr>
      <w:docPartBody>
        <w:p>
          <w:pPr>
            <w:pStyle w:val="5"/>
          </w:pPr>
          <w:r>
            <w:rPr>
              <w:rStyle w:val="4"/>
              <w:rFonts w:hint="eastAsia"/>
            </w:rPr>
            <w:t>单击或点击此处输入文字。</w:t>
          </w:r>
        </w:p>
      </w:docPartBody>
    </w:docPart>
    <w:docPart>
      <w:docPartPr>
        <w:name w:val="D589025BF84E42329DC3F7F482518521"/>
        <w:style w:val=""/>
        <w:category>
          <w:name w:val="常规"/>
          <w:gallery w:val="placeholder"/>
        </w:category>
        <w:types>
          <w:type w:val="bbPlcHdr"/>
        </w:types>
        <w:behaviors>
          <w:behavior w:val="content"/>
        </w:behaviors>
        <w:description w:val=""/>
        <w:guid w:val="{C4497FC1-3C89-4000-BEEB-5D322E466A59}"/>
      </w:docPartPr>
      <w:docPartBody>
        <w:p>
          <w:pPr>
            <w:pStyle w:val="6"/>
          </w:pPr>
          <w:r>
            <w:rPr>
              <w:rStyle w:val="4"/>
              <w:rFonts w:hint="eastAsia"/>
            </w:rPr>
            <w:t>选择一项。</w:t>
          </w:r>
        </w:p>
      </w:docPartBody>
    </w:docPart>
    <w:docPart>
      <w:docPartPr>
        <w:name w:val="19BF426C562547EC861947E86F8D5DE3"/>
        <w:style w:val=""/>
        <w:category>
          <w:name w:val="常规"/>
          <w:gallery w:val="placeholder"/>
        </w:category>
        <w:types>
          <w:type w:val="bbPlcHdr"/>
        </w:types>
        <w:behaviors>
          <w:behavior w:val="content"/>
        </w:behaviors>
        <w:description w:val=""/>
        <w:guid w:val="{279B8F11-650B-47DF-8E85-9F63195CAE4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文泉驿微米黑"/>
    <w:panose1 w:val="00000000000000000000"/>
    <w:charset w:val="86"/>
    <w:family w:val="auto"/>
    <w:pitch w:val="default"/>
    <w:sig w:usb0="00000000" w:usb1="00000000" w:usb2="00000000" w:usb3="00000000" w:csb0="00000000" w:csb1="00000000"/>
  </w:font>
  <w:font w:name="等线">
    <w:altName w:val="文泉驿微米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7AC"/>
    <w:rsid w:val="003733E1"/>
    <w:rsid w:val="00553FC5"/>
    <w:rsid w:val="007F5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FDF13FCBC0640A08E5A3BD91FFCA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589025BF84E42329DC3F7F4825185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9BF426C562547EC861947E86F8D5DE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2848</Words>
  <Characters>3187</Characters>
  <Lines>436</Lines>
  <Paragraphs>392</Paragraphs>
  <TotalTime>147</TotalTime>
  <ScaleCrop>false</ScaleCrop>
  <LinksUpToDate>false</LinksUpToDate>
  <CharactersWithSpaces>3420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2024-05-03T18:19:00Z</dcterms:created>
  <dc:creator>Microsoft</dc:creator>
  <dc:description>&lt;config cover="true" show_menu="true" version="1.0.0" doctype="SDKXY"&gt;_x000d_
&lt;/config&gt;</dc:description>
  <cp:lastModifiedBy>baixin</cp:lastModifiedBy>
  <cp:lastPrinted>2020-08-30T18:00:00Z</cp:lastPrinted>
  <dcterms:modified xsi:type="dcterms:W3CDTF">2024-08-07T11:23:43Z</dcterms:modified>
  <dc:title>地方标准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2052-11.8.2.10290</vt:lpwstr>
  </property>
  <property fmtid="{D5CDD505-2E9C-101B-9397-08002B2CF9AE}" pid="16" name="ICV">
    <vt:lpwstr>C586D34FC274469DBA8D825409C86245_12</vt:lpwstr>
  </property>
</Properties>
</file>